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6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87" w:lineRule="exact"/>
        <w:rPr>
          <w:sz w:val="24"/>
          <w:szCs w:val="24"/>
          <w:color w:val="auto"/>
        </w:rPr>
      </w:pPr>
    </w:p>
    <w:p>
      <w:pPr>
        <w:jc w:val="center"/>
        <w:ind w:left="3920" w:right="1560" w:hanging="2352"/>
        <w:spacing w:after="0" w:line="299" w:lineRule="auto"/>
        <w:tabs>
          <w:tab w:leader="none" w:pos="176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2025</w:t>
      </w:r>
    </w:p>
    <w:p>
      <w:pPr>
        <w:ind w:left="42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001-41528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20955</wp:posOffset>
            </wp:positionV>
            <wp:extent cx="2143125" cy="728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125"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GE HEALTHCARE TECHNOLOGIES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44"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59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9"/>
              </w:rPr>
              <w:t>Delaware</w:t>
            </w:r>
          </w:p>
        </w:tc>
        <w:tc>
          <w:tcPr>
            <w:tcW w:w="5300" w:type="dxa"/>
            <w:vAlign w:val="bottom"/>
          </w:tcPr>
          <w:p>
            <w:pPr>
              <w:jc w:val="right"/>
              <w:ind w:right="2139"/>
              <w:spacing w:after="0"/>
              <w:rPr>
                <w:sz w:val="20"/>
                <w:szCs w:val="20"/>
                <w:color w:val="auto"/>
              </w:rPr>
            </w:pPr>
            <w:r>
              <w:rPr>
                <w:rFonts w:ascii="Arial" w:cs="Arial" w:eastAsia="Arial" w:hAnsi="Arial"/>
                <w:sz w:val="16"/>
                <w:szCs w:val="16"/>
                <w:b w:val="1"/>
                <w:bCs w:val="1"/>
                <w:color w:val="auto"/>
              </w:rPr>
              <w:t>88-2515116</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(State or other jurisdiction of incorporation or organization)</w:t>
            </w:r>
          </w:p>
        </w:tc>
        <w:tc>
          <w:tcPr>
            <w:tcW w:w="530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67"/>
        </w:trPr>
        <w:tc>
          <w:tcPr>
            <w:tcW w:w="5940" w:type="dxa"/>
            <w:vAlign w:val="bottom"/>
            <w:gridSpan w:val="2"/>
          </w:tcPr>
          <w:p>
            <w:pPr>
              <w:jc w:val="center"/>
              <w:ind w:right="620"/>
              <w:spacing w:after="0"/>
              <w:rPr>
                <w:sz w:val="20"/>
                <w:szCs w:val="20"/>
                <w:color w:val="auto"/>
              </w:rPr>
            </w:pPr>
            <w:r>
              <w:rPr>
                <w:rFonts w:ascii="Arial" w:cs="Arial" w:eastAsia="Arial" w:hAnsi="Arial"/>
                <w:sz w:val="16"/>
                <w:szCs w:val="16"/>
                <w:b w:val="1"/>
                <w:bCs w:val="1"/>
                <w:color w:val="auto"/>
              </w:rPr>
              <w:t>500 W. Monroe Street, Chicago, IL</w:t>
            </w:r>
          </w:p>
        </w:tc>
        <w:tc>
          <w:tcPr>
            <w:tcW w:w="5300" w:type="dxa"/>
            <w:vAlign w:val="bottom"/>
          </w:tcPr>
          <w:p>
            <w:pPr>
              <w:jc w:val="right"/>
              <w:ind w:right="2339"/>
              <w:spacing w:after="0"/>
              <w:rPr>
                <w:sz w:val="20"/>
                <w:szCs w:val="20"/>
                <w:color w:val="auto"/>
              </w:rPr>
            </w:pPr>
            <w:r>
              <w:rPr>
                <w:rFonts w:ascii="Arial" w:cs="Arial" w:eastAsia="Arial" w:hAnsi="Arial"/>
                <w:sz w:val="16"/>
                <w:szCs w:val="16"/>
                <w:b w:val="1"/>
                <w:bCs w:val="1"/>
                <w:color w:val="auto"/>
              </w:rPr>
              <w:t>60661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r>
      <w:tr>
        <w:trPr>
          <w:trHeight w:val="221"/>
        </w:trPr>
        <w:tc>
          <w:tcPr>
            <w:tcW w:w="5940" w:type="dxa"/>
            <w:vAlign w:val="bottom"/>
            <w:gridSpan w:val="2"/>
          </w:tcPr>
          <w:p>
            <w:pPr>
              <w:jc w:val="center"/>
              <w:ind w:right="640"/>
              <w:spacing w:after="0"/>
              <w:rPr>
                <w:sz w:val="20"/>
                <w:szCs w:val="20"/>
                <w:color w:val="auto"/>
              </w:rPr>
            </w:pPr>
            <w:r>
              <w:rPr>
                <w:rFonts w:ascii="Arial" w:cs="Arial" w:eastAsia="Arial" w:hAnsi="Arial"/>
                <w:sz w:val="16"/>
                <w:szCs w:val="16"/>
                <w:color w:val="auto"/>
              </w:rPr>
              <w:t>(Address of principal executive offices)</w:t>
            </w:r>
          </w:p>
        </w:tc>
        <w:tc>
          <w:tcPr>
            <w:tcW w:w="530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3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(833) 735-1139</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40" w:lineRule="exact"/>
        <w:rPr>
          <w:sz w:val="24"/>
          <w:szCs w:val="24"/>
          <w:color w:val="auto"/>
        </w:rPr>
      </w:pPr>
    </w:p>
    <w:tbl>
      <w:tblPr>
        <w:tblLayout w:type="fixed"/>
        <w:tblInd w:w="10" w:type="dxa"/>
        <w:tblCellMar>
          <w:top w:w="0" w:type="dxa"/>
          <w:left w:w="0" w:type="dxa"/>
          <w:bottom w:w="0" w:type="dxa"/>
          <w:right w:w="0" w:type="dxa"/>
        </w:tblCellMar>
      </w:tblPr>
      <w:tr>
        <w:trPr>
          <w:trHeight w:val="222"/>
        </w:trPr>
        <w:tc>
          <w:tcPr>
            <w:tcW w:w="424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Title of each class</w:t>
            </w:r>
          </w:p>
        </w:tc>
        <w:tc>
          <w:tcPr>
            <w:tcW w:w="276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Trading Symbol(s)</w:t>
            </w:r>
          </w:p>
        </w:tc>
        <w:tc>
          <w:tcPr>
            <w:tcW w:w="4240" w:type="dxa"/>
            <w:vAlign w:val="bottom"/>
            <w:tcBorders>
              <w:top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Name of each exchange on which registered</w:t>
            </w:r>
          </w:p>
        </w:tc>
      </w:tr>
      <w:tr>
        <w:trPr>
          <w:trHeight w:val="22"/>
        </w:trPr>
        <w:tc>
          <w:tcPr>
            <w:tcW w:w="4240" w:type="dxa"/>
            <w:vAlign w:val="bottom"/>
            <w:tcBorders>
              <w:left w:val="single" w:sz="8" w:color="00000A"/>
              <w:bottom w:val="single" w:sz="8" w:color="00000A"/>
              <w:right w:val="single" w:sz="8" w:color="00000A"/>
            </w:tcBorders>
          </w:tcPr>
          <w:p>
            <w:pPr>
              <w:spacing w:after="0" w:line="20" w:lineRule="exact"/>
              <w:rPr>
                <w:sz w:val="1"/>
                <w:szCs w:val="1"/>
                <w:color w:val="auto"/>
              </w:rPr>
            </w:pPr>
          </w:p>
        </w:tc>
        <w:tc>
          <w:tcPr>
            <w:tcW w:w="2760" w:type="dxa"/>
            <w:vAlign w:val="bottom"/>
            <w:tcBorders>
              <w:bottom w:val="single" w:sz="8" w:color="00000A"/>
              <w:right w:val="single" w:sz="8" w:color="00000A"/>
            </w:tcBorders>
          </w:tcPr>
          <w:p>
            <w:pPr>
              <w:spacing w:after="0" w:line="20" w:lineRule="exact"/>
              <w:rPr>
                <w:sz w:val="1"/>
                <w:szCs w:val="1"/>
                <w:color w:val="auto"/>
              </w:rPr>
            </w:pPr>
          </w:p>
        </w:tc>
        <w:tc>
          <w:tcPr>
            <w:tcW w:w="4240" w:type="dxa"/>
            <w:vAlign w:val="bottom"/>
            <w:tcBorders>
              <w:bottom w:val="single" w:sz="8" w:color="00000A"/>
              <w:right w:val="single" w:sz="8" w:color="00000A"/>
            </w:tcBorders>
          </w:tcPr>
          <w:p>
            <w:pPr>
              <w:spacing w:after="0" w:line="20" w:lineRule="exact"/>
              <w:rPr>
                <w:sz w:val="1"/>
                <w:szCs w:val="1"/>
                <w:color w:val="auto"/>
              </w:rPr>
            </w:pPr>
          </w:p>
        </w:tc>
      </w:tr>
      <w:tr>
        <w:trPr>
          <w:trHeight w:val="202"/>
        </w:trPr>
        <w:tc>
          <w:tcPr>
            <w:tcW w:w="424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14"/>
                <w:szCs w:val="14"/>
                <w:color w:val="auto"/>
              </w:rPr>
              <w:t>Common stock, par value $0.01 per share</w:t>
            </w:r>
          </w:p>
        </w:tc>
        <w:tc>
          <w:tcPr>
            <w:tcW w:w="2760" w:type="dxa"/>
            <w:vAlign w:val="bottom"/>
            <w:tcBorders>
              <w:right w:val="single" w:sz="8" w:color="00000A"/>
            </w:tcBorders>
          </w:tcPr>
          <w:p>
            <w:pPr>
              <w:jc w:val="center"/>
              <w:spacing w:after="0"/>
              <w:rPr>
                <w:sz w:val="20"/>
                <w:szCs w:val="20"/>
                <w:color w:val="auto"/>
              </w:rPr>
            </w:pPr>
            <w:r>
              <w:rPr>
                <w:rFonts w:ascii="Arial" w:cs="Arial" w:eastAsia="Arial" w:hAnsi="Arial"/>
                <w:sz w:val="14"/>
                <w:szCs w:val="14"/>
                <w:color w:val="auto"/>
              </w:rPr>
              <w:t>GEHC</w:t>
            </w:r>
          </w:p>
        </w:tc>
        <w:tc>
          <w:tcPr>
            <w:tcW w:w="42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The Nasdaq Stock Market LLC</w:t>
            </w:r>
          </w:p>
        </w:tc>
      </w:tr>
      <w:tr>
        <w:trPr>
          <w:trHeight w:val="22"/>
        </w:trPr>
        <w:tc>
          <w:tcPr>
            <w:tcW w:w="4240" w:type="dxa"/>
            <w:vAlign w:val="bottom"/>
            <w:tcBorders>
              <w:left w:val="single" w:sz="8" w:color="00000A"/>
              <w:bottom w:val="single" w:sz="8" w:color="auto"/>
              <w:right w:val="single" w:sz="8" w:color="00000A"/>
            </w:tcBorders>
          </w:tcPr>
          <w:p>
            <w:pPr>
              <w:spacing w:after="0" w:line="20" w:lineRule="exact"/>
              <w:rPr>
                <w:sz w:val="1"/>
                <w:szCs w:val="1"/>
                <w:color w:val="auto"/>
              </w:rPr>
            </w:pPr>
          </w:p>
        </w:tc>
        <w:tc>
          <w:tcPr>
            <w:tcW w:w="2760" w:type="dxa"/>
            <w:vAlign w:val="bottom"/>
            <w:tcBorders>
              <w:bottom w:val="single" w:sz="8" w:color="auto"/>
              <w:right w:val="single" w:sz="8" w:color="00000A"/>
            </w:tcBorders>
          </w:tcPr>
          <w:p>
            <w:pPr>
              <w:spacing w:after="0" w:line="20" w:lineRule="exact"/>
              <w:rPr>
                <w:sz w:val="1"/>
                <w:szCs w:val="1"/>
                <w:color w:val="auto"/>
              </w:rPr>
            </w:pPr>
          </w:p>
        </w:tc>
        <w:tc>
          <w:tcPr>
            <w:tcW w:w="4240" w:type="dxa"/>
            <w:vAlign w:val="bottom"/>
            <w:tcBorders>
              <w:bottom w:val="single" w:sz="8" w:color="auto"/>
              <w:right w:val="single" w:sz="8" w:color="auto"/>
            </w:tcBorders>
          </w:tcPr>
          <w:p>
            <w:pPr>
              <w:spacing w:after="0" w:line="20" w:lineRule="exact"/>
              <w:rPr>
                <w:sz w:val="1"/>
                <w:szCs w:val="1"/>
                <w:color w:val="auto"/>
              </w:rPr>
            </w:pPr>
          </w:p>
        </w:tc>
      </w:tr>
    </w:tbl>
    <w:p>
      <w:pPr>
        <w:spacing w:after="0" w:line="364" w:lineRule="exact"/>
        <w:rPr>
          <w:sz w:val="24"/>
          <w:szCs w:val="24"/>
          <w:color w:val="auto"/>
        </w:rPr>
      </w:pPr>
    </w:p>
    <w:p>
      <w:pPr>
        <w:ind w:right="2880"/>
        <w:spacing w:after="0" w:line="249"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ind w:right="100"/>
        <w:spacing w:after="0" w:line="20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4" w:lineRule="exact"/>
        <w:rPr>
          <w:sz w:val="24"/>
          <w:szCs w:val="24"/>
          <w:color w:val="auto"/>
        </w:rPr>
      </w:pPr>
    </w:p>
    <w:p>
      <w:pPr>
        <w:spacing w:after="0" w:line="20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7" w:lineRule="exact"/>
        <w:rPr>
          <w:sz w:val="24"/>
          <w:szCs w:val="24"/>
          <w:color w:val="auto"/>
        </w:rPr>
      </w:pPr>
    </w:p>
    <w:p>
      <w:pPr>
        <w:jc w:val="both"/>
        <w:ind w:right="500"/>
        <w:spacing w:after="0" w:line="30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920" w:type="dxa"/>
        <w:tblCellMar>
          <w:top w:w="0" w:type="dxa"/>
          <w:left w:w="0" w:type="dxa"/>
          <w:bottom w:w="0" w:type="dxa"/>
          <w:right w:w="0" w:type="dxa"/>
        </w:tblCellMar>
      </w:tblPr>
      <w:tr>
        <w:trPr>
          <w:trHeight w:val="230"/>
        </w:trPr>
        <w:tc>
          <w:tcPr>
            <w:tcW w:w="2400" w:type="dxa"/>
            <w:vAlign w:val="bottom"/>
          </w:tcPr>
          <w:p>
            <w:pPr>
              <w:jc w:val="center"/>
              <w:ind w:right="888"/>
              <w:spacing w:after="0"/>
              <w:rPr>
                <w:sz w:val="20"/>
                <w:szCs w:val="20"/>
                <w:color w:val="auto"/>
              </w:rPr>
            </w:pPr>
            <w:r>
              <w:rPr>
                <w:rFonts w:ascii="Arial" w:cs="Arial" w:eastAsia="Arial" w:hAnsi="Arial"/>
                <w:sz w:val="14"/>
                <w:szCs w:val="14"/>
                <w:color w:val="auto"/>
              </w:rPr>
              <w:t>Large accelerated filer</w:t>
            </w:r>
          </w:p>
        </w:tc>
        <w:tc>
          <w:tcPr>
            <w:tcW w:w="20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8"/>
              <w:spacing w:after="0"/>
              <w:rPr>
                <w:sz w:val="20"/>
                <w:szCs w:val="20"/>
                <w:color w:val="auto"/>
              </w:rPr>
            </w:pPr>
            <w:r>
              <w:rPr>
                <w:rFonts w:ascii="Arial" w:cs="Arial" w:eastAsia="Arial" w:hAnsi="Arial"/>
                <w:sz w:val="14"/>
                <w:szCs w:val="14"/>
                <w:color w:val="auto"/>
              </w:rPr>
              <w:t>Accelerated filer</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2400" w:type="dxa"/>
            <w:vAlign w:val="bottom"/>
          </w:tcPr>
          <w:p>
            <w:pPr>
              <w:jc w:val="center"/>
              <w:ind w:right="888"/>
              <w:spacing w:after="0"/>
              <w:rPr>
                <w:sz w:val="20"/>
                <w:szCs w:val="20"/>
                <w:color w:val="auto"/>
              </w:rPr>
            </w:pPr>
            <w:r>
              <w:rPr>
                <w:rFonts w:ascii="Arial" w:cs="Arial" w:eastAsia="Arial" w:hAnsi="Arial"/>
                <w:sz w:val="14"/>
                <w:szCs w:val="14"/>
                <w:color w:val="auto"/>
              </w:rPr>
              <w:t>Non-accelerated filer</w:t>
            </w:r>
          </w:p>
        </w:tc>
        <w:tc>
          <w:tcPr>
            <w:tcW w:w="20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3620" w:type="dxa"/>
            <w:vAlign w:val="bottom"/>
          </w:tcPr>
          <w:p>
            <w:pPr>
              <w:jc w:val="center"/>
              <w:ind w:left="8"/>
              <w:spacing w:after="0"/>
              <w:rPr>
                <w:sz w:val="20"/>
                <w:szCs w:val="20"/>
                <w:color w:val="auto"/>
              </w:rPr>
            </w:pPr>
            <w:r>
              <w:rPr>
                <w:rFonts w:ascii="Arial" w:cs="Arial" w:eastAsia="Arial" w:hAnsi="Arial"/>
                <w:sz w:val="14"/>
                <w:szCs w:val="14"/>
                <w:color w:val="auto"/>
              </w:rPr>
              <w:t>Smaller reporting company</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24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3620" w:type="dxa"/>
            <w:vAlign w:val="bottom"/>
          </w:tcPr>
          <w:p>
            <w:pPr>
              <w:jc w:val="center"/>
              <w:ind w:left="8"/>
              <w:spacing w:after="0"/>
              <w:rPr>
                <w:sz w:val="20"/>
                <w:szCs w:val="20"/>
                <w:color w:val="auto"/>
              </w:rPr>
            </w:pPr>
            <w:r>
              <w:rPr>
                <w:rFonts w:ascii="Arial" w:cs="Arial" w:eastAsia="Arial" w:hAnsi="Arial"/>
                <w:sz w:val="14"/>
                <w:szCs w:val="14"/>
                <w:color w:val="auto"/>
              </w:rPr>
              <w:t>Emerging growth company</w:t>
            </w:r>
          </w:p>
        </w:tc>
        <w:tc>
          <w:tcPr>
            <w:tcW w:w="1020" w:type="dxa"/>
            <w:vAlign w:val="bottom"/>
          </w:tcPr>
          <w:p>
            <w:pPr>
              <w:ind w:left="9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87" w:lineRule="exact"/>
        <w:rPr>
          <w:sz w:val="24"/>
          <w:szCs w:val="24"/>
          <w:color w:val="auto"/>
        </w:rPr>
      </w:pPr>
    </w:p>
    <w:p>
      <w:pPr>
        <w:ind w:right="300"/>
        <w:spacing w:after="0" w:line="20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4" w:lineRule="exact"/>
        <w:rPr>
          <w:sz w:val="24"/>
          <w:szCs w:val="24"/>
          <w:color w:val="auto"/>
        </w:rPr>
      </w:pPr>
    </w:p>
    <w:p>
      <w:pPr>
        <w:ind w:right="42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0" w:lineRule="exact"/>
        <w:rPr>
          <w:sz w:val="24"/>
          <w:szCs w:val="24"/>
          <w:color w:val="auto"/>
        </w:rPr>
      </w:pPr>
    </w:p>
    <w:p>
      <w:pPr>
        <w:ind w:right="620"/>
        <w:spacing w:after="0" w:line="193" w:lineRule="exact"/>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20" w:lineRule="exact"/>
        <w:rPr>
          <w:sz w:val="24"/>
          <w:szCs w:val="24"/>
          <w:color w:val="auto"/>
        </w:rPr>
      </w:pPr>
    </w:p>
    <w:p>
      <w:pPr>
        <w:ind w:right="460"/>
        <w:spacing w:after="0" w:line="193" w:lineRule="exact"/>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60"/>
        <w:spacing w:after="0" w:line="263" w:lineRule="auto"/>
        <w:rPr>
          <w:sz w:val="20"/>
          <w:szCs w:val="20"/>
          <w:color w:val="auto"/>
        </w:rPr>
      </w:pPr>
      <w:r>
        <w:rPr>
          <w:rFonts w:ascii="Arial" w:cs="Arial" w:eastAsia="Arial" w:hAnsi="Arial"/>
          <w:sz w:val="14"/>
          <w:szCs w:val="14"/>
          <w:color w:val="auto"/>
        </w:rPr>
        <w:t>The aggregate market value of the outstanding common stock of the Registrant held by non-affiliates as of June 30, 2025, the last business day of the registrant’s most recently completed second fiscal quarter, was approximately $34 billion. There were 455,749,767 shares of common stock with a par value of $0.01 per share outstanding as of January 28, 2026.</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2" w:lineRule="exact"/>
        <w:rPr>
          <w:sz w:val="24"/>
          <w:szCs w:val="24"/>
          <w:color w:val="auto"/>
        </w:rPr>
      </w:pPr>
    </w:p>
    <w:p>
      <w:pPr>
        <w:ind w:right="60"/>
        <w:spacing w:after="0" w:line="345" w:lineRule="auto"/>
        <w:rPr>
          <w:sz w:val="20"/>
          <w:szCs w:val="20"/>
          <w:color w:val="auto"/>
        </w:rPr>
      </w:pPr>
      <w:r>
        <w:rPr>
          <w:rFonts w:ascii="Arial" w:cs="Arial" w:eastAsia="Arial" w:hAnsi="Arial"/>
          <w:sz w:val="14"/>
          <w:szCs w:val="14"/>
          <w:color w:val="auto"/>
        </w:rPr>
        <w:t>The definitive proxy statement relating to the registrant’s Annual Meeting of Stockholders, to be held May 7, 2026, is incorporated by reference into Part III of this Annual Report on Form 10-K to the extent described therein.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427990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060" w:type="dxa"/>
            <w:vAlign w:val="bottom"/>
          </w:tcPr>
          <w:p>
            <w:pPr>
              <w:spacing w:after="0"/>
              <w:rPr>
                <w:sz w:val="19"/>
                <w:szCs w:val="19"/>
                <w:color w:val="auto"/>
              </w:rPr>
            </w:pPr>
          </w:p>
        </w:tc>
        <w:tc>
          <w:tcPr>
            <w:tcW w:w="8980" w:type="dxa"/>
            <w:vAlign w:val="bottom"/>
          </w:tcPr>
          <w:p>
            <w:pPr>
              <w:ind w:left="3880"/>
              <w:spacing w:after="0"/>
              <w:rPr>
                <w:sz w:val="20"/>
                <w:szCs w:val="20"/>
                <w:color w:val="auto"/>
              </w:rPr>
            </w:pPr>
            <w:r>
              <w:rPr>
                <w:rFonts w:ascii="Arial" w:cs="Arial" w:eastAsia="Arial" w:hAnsi="Arial"/>
                <w:sz w:val="16"/>
                <w:szCs w:val="16"/>
                <w:b w:val="1"/>
                <w:bCs w:val="1"/>
                <w:color w:val="auto"/>
              </w:rPr>
              <w:t>Table of Contents</w:t>
            </w:r>
          </w:p>
        </w:tc>
        <w:tc>
          <w:tcPr>
            <w:tcW w:w="1200" w:type="dxa"/>
            <w:vAlign w:val="bottom"/>
          </w:tcPr>
          <w:p>
            <w:pPr>
              <w:spacing w:after="0"/>
              <w:rPr>
                <w:sz w:val="19"/>
                <w:szCs w:val="19"/>
                <w:color w:val="auto"/>
              </w:rPr>
            </w:pPr>
          </w:p>
        </w:tc>
      </w:tr>
      <w:tr>
        <w:trPr>
          <w:trHeight w:val="256"/>
        </w:trPr>
        <w:tc>
          <w:tcPr>
            <w:tcW w:w="106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365"/>
        </w:trPr>
        <w:tc>
          <w:tcPr>
            <w:tcW w:w="10040" w:type="dxa"/>
            <w:vAlign w:val="bottom"/>
            <w:gridSpan w:val="2"/>
          </w:tcPr>
          <w:p>
            <w:pPr>
              <w:ind w:left="20"/>
              <w:spacing w:after="0"/>
              <w:rPr>
                <w:sz w:val="20"/>
                <w:szCs w:val="20"/>
                <w:color w:val="auto"/>
              </w:rPr>
            </w:pPr>
            <w:r>
              <w:rPr>
                <w:rFonts w:ascii="Arial" w:cs="Arial" w:eastAsia="Arial" w:hAnsi="Arial"/>
                <w:sz w:val="16"/>
                <w:szCs w:val="16"/>
                <w:b w:val="1"/>
                <w:bCs w:val="1"/>
                <w:color w:val="auto"/>
              </w:rPr>
              <w:t>Forward-Looking Statements</w:t>
            </w: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8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
        </w:trPr>
        <w:tc>
          <w:tcPr>
            <w:tcW w:w="1060" w:type="dxa"/>
            <w:vAlign w:val="bottom"/>
            <w:tcBorders>
              <w:bottom w:val="single" w:sz="8" w:color="6400A0"/>
            </w:tcBorders>
          </w:tcPr>
          <w:p>
            <w:pPr>
              <w:spacing w:after="0" w:line="20" w:lineRule="exact"/>
              <w:rPr>
                <w:sz w:val="1"/>
                <w:szCs w:val="1"/>
                <w:color w:val="auto"/>
              </w:rPr>
            </w:pPr>
          </w:p>
        </w:tc>
        <w:tc>
          <w:tcPr>
            <w:tcW w:w="898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r>
      <w:tr>
        <w:trPr>
          <w:trHeight w:val="229"/>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w:t>
            </w:r>
          </w:p>
        </w:tc>
        <w:tc>
          <w:tcPr>
            <w:tcW w:w="8980" w:type="dxa"/>
            <w:vAlign w:val="bottom"/>
          </w:tcPr>
          <w:p>
            <w:pPr>
              <w:ind w:left="200"/>
              <w:spacing w:after="0"/>
              <w:rPr>
                <w:sz w:val="20"/>
                <w:szCs w:val="20"/>
                <w:color w:val="auto"/>
              </w:rPr>
            </w:pPr>
            <w:r>
              <w:rPr>
                <w:rFonts w:ascii="Arial" w:cs="Arial" w:eastAsia="Arial" w:hAnsi="Arial"/>
                <w:sz w:val="16"/>
                <w:szCs w:val="16"/>
                <w:color w:val="auto"/>
              </w:rPr>
              <w:t>Business</w:t>
            </w: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1A.</w:t>
            </w:r>
          </w:p>
        </w:tc>
        <w:tc>
          <w:tcPr>
            <w:tcW w:w="8980" w:type="dxa"/>
            <w:vAlign w:val="bottom"/>
          </w:tcPr>
          <w:p>
            <w:pPr>
              <w:ind w:left="200"/>
              <w:spacing w:after="0"/>
              <w:rPr>
                <w:sz w:val="20"/>
                <w:szCs w:val="20"/>
                <w:color w:val="auto"/>
              </w:rPr>
            </w:pPr>
            <w:r>
              <w:rPr>
                <w:rFonts w:ascii="Arial" w:cs="Arial" w:eastAsia="Arial" w:hAnsi="Arial"/>
                <w:sz w:val="16"/>
                <w:szCs w:val="16"/>
                <w:color w:val="auto"/>
              </w:rPr>
              <w:t>Risk Factors</w:t>
            </w: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1B.</w:t>
            </w:r>
          </w:p>
        </w:tc>
        <w:tc>
          <w:tcPr>
            <w:tcW w:w="8980" w:type="dxa"/>
            <w:vAlign w:val="bottom"/>
          </w:tcPr>
          <w:p>
            <w:pPr>
              <w:ind w:left="200"/>
              <w:spacing w:after="0"/>
              <w:rPr>
                <w:sz w:val="20"/>
                <w:szCs w:val="20"/>
                <w:color w:val="auto"/>
              </w:rPr>
            </w:pPr>
            <w:r>
              <w:rPr>
                <w:rFonts w:ascii="Arial" w:cs="Arial" w:eastAsia="Arial" w:hAnsi="Arial"/>
                <w:sz w:val="16"/>
                <w:szCs w:val="16"/>
                <w:color w:val="auto"/>
              </w:rPr>
              <w:t>Unresolved Staff Comments</w:t>
            </w: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1C.</w:t>
            </w:r>
          </w:p>
        </w:tc>
        <w:tc>
          <w:tcPr>
            <w:tcW w:w="8980" w:type="dxa"/>
            <w:vAlign w:val="bottom"/>
          </w:tcPr>
          <w:p>
            <w:pPr>
              <w:ind w:left="200"/>
              <w:spacing w:after="0"/>
              <w:rPr>
                <w:sz w:val="20"/>
                <w:szCs w:val="20"/>
                <w:color w:val="auto"/>
              </w:rPr>
            </w:pPr>
            <w:r>
              <w:rPr>
                <w:rFonts w:ascii="Arial" w:cs="Arial" w:eastAsia="Arial" w:hAnsi="Arial"/>
                <w:sz w:val="16"/>
                <w:szCs w:val="16"/>
                <w:color w:val="auto"/>
              </w:rPr>
              <w:t>Cybersecurity</w:t>
            </w:r>
          </w:p>
        </w:tc>
        <w:tc>
          <w:tcPr>
            <w:tcW w:w="12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2.</w:t>
            </w:r>
          </w:p>
        </w:tc>
        <w:tc>
          <w:tcPr>
            <w:tcW w:w="8980" w:type="dxa"/>
            <w:vAlign w:val="bottom"/>
          </w:tcPr>
          <w:p>
            <w:pPr>
              <w:ind w:left="200"/>
              <w:spacing w:after="0"/>
              <w:rPr>
                <w:sz w:val="20"/>
                <w:szCs w:val="20"/>
                <w:color w:val="auto"/>
              </w:rPr>
            </w:pPr>
            <w:r>
              <w:rPr>
                <w:rFonts w:ascii="Arial" w:cs="Arial" w:eastAsia="Arial" w:hAnsi="Arial"/>
                <w:sz w:val="16"/>
                <w:szCs w:val="16"/>
                <w:color w:val="auto"/>
              </w:rPr>
              <w:t>Properties</w:t>
            </w: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3.</w:t>
            </w:r>
          </w:p>
        </w:tc>
        <w:tc>
          <w:tcPr>
            <w:tcW w:w="8980" w:type="dxa"/>
            <w:vAlign w:val="bottom"/>
          </w:tcPr>
          <w:p>
            <w:pPr>
              <w:ind w:left="200"/>
              <w:spacing w:after="0"/>
              <w:rPr>
                <w:sz w:val="20"/>
                <w:szCs w:val="20"/>
                <w:color w:val="auto"/>
              </w:rPr>
            </w:pPr>
            <w:r>
              <w:rPr>
                <w:rFonts w:ascii="Arial" w:cs="Arial" w:eastAsia="Arial" w:hAnsi="Arial"/>
                <w:sz w:val="16"/>
                <w:szCs w:val="16"/>
                <w:color w:val="auto"/>
              </w:rPr>
              <w:t>Legal Proceedings</w:t>
            </w: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4.</w:t>
            </w:r>
          </w:p>
        </w:tc>
        <w:tc>
          <w:tcPr>
            <w:tcW w:w="8980" w:type="dxa"/>
            <w:vAlign w:val="bottom"/>
          </w:tcPr>
          <w:p>
            <w:pPr>
              <w:ind w:left="200"/>
              <w:spacing w:after="0"/>
              <w:rPr>
                <w:sz w:val="20"/>
                <w:szCs w:val="20"/>
                <w:color w:val="auto"/>
              </w:rPr>
            </w:pPr>
            <w:r>
              <w:rPr>
                <w:rFonts w:ascii="Arial" w:cs="Arial" w:eastAsia="Arial" w:hAnsi="Arial"/>
                <w:sz w:val="16"/>
                <w:szCs w:val="16"/>
                <w:color w:val="auto"/>
              </w:rPr>
              <w:t>Mine Safety Disclosures</w:t>
            </w:r>
          </w:p>
        </w:tc>
        <w:tc>
          <w:tcPr>
            <w:tcW w:w="120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89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
        </w:trPr>
        <w:tc>
          <w:tcPr>
            <w:tcW w:w="1060" w:type="dxa"/>
            <w:vAlign w:val="bottom"/>
            <w:tcBorders>
              <w:bottom w:val="single" w:sz="8" w:color="6400A0"/>
            </w:tcBorders>
          </w:tcPr>
          <w:p>
            <w:pPr>
              <w:spacing w:after="0" w:line="20" w:lineRule="exact"/>
              <w:rPr>
                <w:sz w:val="1"/>
                <w:szCs w:val="1"/>
                <w:color w:val="auto"/>
              </w:rPr>
            </w:pPr>
          </w:p>
        </w:tc>
        <w:tc>
          <w:tcPr>
            <w:tcW w:w="898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r>
      <w:tr>
        <w:trPr>
          <w:trHeight w:val="229"/>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5.</w:t>
            </w:r>
          </w:p>
        </w:tc>
        <w:tc>
          <w:tcPr>
            <w:tcW w:w="8980" w:type="dxa"/>
            <w:vAlign w:val="bottom"/>
          </w:tcPr>
          <w:p>
            <w:pPr>
              <w:ind w:left="200"/>
              <w:spacing w:after="0"/>
              <w:rPr>
                <w:sz w:val="20"/>
                <w:szCs w:val="20"/>
                <w:color w:val="auto"/>
              </w:rPr>
            </w:pPr>
            <w:r>
              <w:rPr>
                <w:rFonts w:ascii="Arial" w:cs="Arial" w:eastAsia="Arial" w:hAnsi="Arial"/>
                <w:sz w:val="16"/>
                <w:szCs w:val="16"/>
                <w:color w:val="auto"/>
              </w:rPr>
              <w:t>Market for Registrant’s Common Equity, Related Stockholder Matters and Issuer Purchases of Equity Securities</w:t>
            </w:r>
          </w:p>
        </w:tc>
        <w:tc>
          <w:tcPr>
            <w:tcW w:w="12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6.</w:t>
            </w:r>
          </w:p>
        </w:tc>
        <w:tc>
          <w:tcPr>
            <w:tcW w:w="8980" w:type="dxa"/>
            <w:vAlign w:val="bottom"/>
          </w:tcPr>
          <w:p>
            <w:pPr>
              <w:ind w:left="200"/>
              <w:spacing w:after="0"/>
              <w:rPr>
                <w:sz w:val="20"/>
                <w:szCs w:val="20"/>
                <w:color w:val="auto"/>
              </w:rPr>
            </w:pPr>
            <w:r>
              <w:rPr>
                <w:rFonts w:ascii="Arial" w:cs="Arial" w:eastAsia="Arial" w:hAnsi="Arial"/>
                <w:sz w:val="16"/>
                <w:szCs w:val="16"/>
                <w:color w:val="auto"/>
              </w:rPr>
              <w:t>[Reserved]</w:t>
            </w:r>
          </w:p>
        </w:tc>
        <w:tc>
          <w:tcPr>
            <w:tcW w:w="120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7.</w:t>
            </w:r>
          </w:p>
        </w:tc>
        <w:tc>
          <w:tcPr>
            <w:tcW w:w="8980" w:type="dxa"/>
            <w:vAlign w:val="bottom"/>
          </w:tcPr>
          <w:p>
            <w:pPr>
              <w:ind w:left="2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48"/>
        </w:trPr>
        <w:tc>
          <w:tcPr>
            <w:tcW w:w="1060" w:type="dxa"/>
            <w:vAlign w:val="bottom"/>
          </w:tcPr>
          <w:p>
            <w:pPr>
              <w:spacing w:after="0"/>
              <w:rPr>
                <w:sz w:val="21"/>
                <w:szCs w:val="21"/>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Trends and Factors Impacting Our Performance</w:t>
            </w:r>
          </w:p>
        </w:tc>
        <w:tc>
          <w:tcPr>
            <w:tcW w:w="120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56"/>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Summary of Key Performance Measures</w:t>
            </w: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257"/>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Results of Operations</w:t>
            </w: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57"/>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Results of Operations – Segments</w:t>
            </w:r>
          </w:p>
        </w:tc>
        <w:tc>
          <w:tcPr>
            <w:tcW w:w="12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57"/>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Non-GAAP Financial Measures</w:t>
            </w:r>
          </w:p>
        </w:tc>
        <w:tc>
          <w:tcPr>
            <w:tcW w:w="12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56"/>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Liquidity and Capital Resources</w:t>
            </w:r>
          </w:p>
        </w:tc>
        <w:tc>
          <w:tcPr>
            <w:tcW w:w="120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57"/>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Recently Issued Accounting Pronouncements</w:t>
            </w:r>
          </w:p>
        </w:tc>
        <w:tc>
          <w:tcPr>
            <w:tcW w:w="12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56"/>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Critical Accounting Estimates</w:t>
            </w:r>
          </w:p>
        </w:tc>
        <w:tc>
          <w:tcPr>
            <w:tcW w:w="120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65"/>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7A.</w:t>
            </w:r>
          </w:p>
        </w:tc>
        <w:tc>
          <w:tcPr>
            <w:tcW w:w="8980" w:type="dxa"/>
            <w:vAlign w:val="bottom"/>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8.</w:t>
            </w:r>
          </w:p>
        </w:tc>
        <w:tc>
          <w:tcPr>
            <w:tcW w:w="8980" w:type="dxa"/>
            <w:vAlign w:val="bottom"/>
          </w:tcPr>
          <w:p>
            <w:pPr>
              <w:ind w:left="200"/>
              <w:spacing w:after="0"/>
              <w:rPr>
                <w:sz w:val="20"/>
                <w:szCs w:val="20"/>
                <w:color w:val="auto"/>
              </w:rPr>
            </w:pPr>
            <w:r>
              <w:rPr>
                <w:rFonts w:ascii="Arial" w:cs="Arial" w:eastAsia="Arial" w:hAnsi="Arial"/>
                <w:sz w:val="16"/>
                <w:szCs w:val="16"/>
                <w:color w:val="auto"/>
              </w:rPr>
              <w:t>Financial Statements and Supplementary Data</w:t>
            </w: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9"/>
        </w:trPr>
        <w:tc>
          <w:tcPr>
            <w:tcW w:w="1060" w:type="dxa"/>
            <w:vAlign w:val="bottom"/>
          </w:tcPr>
          <w:p>
            <w:pPr>
              <w:spacing w:after="0"/>
              <w:rPr>
                <w:sz w:val="21"/>
                <w:szCs w:val="21"/>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Report of Independent Registered Public Accounting Firm - Deloitte &amp; Touche LLP (PCAOB ID No. 34)</w:t>
            </w:r>
          </w:p>
        </w:tc>
        <w:tc>
          <w:tcPr>
            <w:tcW w:w="120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56"/>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Consolidated Statements of Income</w:t>
            </w:r>
          </w:p>
        </w:tc>
        <w:tc>
          <w:tcPr>
            <w:tcW w:w="120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57"/>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Consolidated Statements of Comprehensive Income (Loss)</w:t>
            </w:r>
          </w:p>
        </w:tc>
        <w:tc>
          <w:tcPr>
            <w:tcW w:w="120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57"/>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Consolidated Statements of Financial Position</w:t>
            </w:r>
          </w:p>
        </w:tc>
        <w:tc>
          <w:tcPr>
            <w:tcW w:w="12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56"/>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Consolidated Statements of Changes in Equity</w:t>
            </w:r>
          </w:p>
        </w:tc>
        <w:tc>
          <w:tcPr>
            <w:tcW w:w="12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57"/>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Consolidated Statements of Cash Flows</w:t>
            </w:r>
          </w:p>
        </w:tc>
        <w:tc>
          <w:tcPr>
            <w:tcW w:w="12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56"/>
        </w:trPr>
        <w:tc>
          <w:tcPr>
            <w:tcW w:w="1060" w:type="dxa"/>
            <w:vAlign w:val="bottom"/>
          </w:tcPr>
          <w:p>
            <w:pPr>
              <w:spacing w:after="0"/>
              <w:rPr>
                <w:sz w:val="22"/>
                <w:szCs w:val="22"/>
                <w:color w:val="auto"/>
              </w:rPr>
            </w:pPr>
          </w:p>
        </w:tc>
        <w:tc>
          <w:tcPr>
            <w:tcW w:w="8980" w:type="dxa"/>
            <w:vAlign w:val="bottom"/>
          </w:tcPr>
          <w:p>
            <w:pPr>
              <w:ind w:left="420"/>
              <w:spacing w:after="0"/>
              <w:rPr>
                <w:sz w:val="20"/>
                <w:szCs w:val="20"/>
                <w:color w:val="auto"/>
              </w:rPr>
            </w:pPr>
            <w:r>
              <w:rPr>
                <w:rFonts w:ascii="Arial" w:cs="Arial" w:eastAsia="Arial" w:hAnsi="Arial"/>
                <w:sz w:val="16"/>
                <w:szCs w:val="16"/>
                <w:color w:val="auto"/>
              </w:rPr>
              <w:t>Notes to the Consolidated Financial Statements</w:t>
            </w: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57"/>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1. Organization and Basis of Presentation</w:t>
            </w: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2. Summary of Significant Accounting Policies</w:t>
            </w:r>
          </w:p>
        </w:tc>
        <w:tc>
          <w:tcPr>
            <w:tcW w:w="120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57"/>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3. Revenue Recognition</w:t>
            </w:r>
          </w:p>
        </w:tc>
        <w:tc>
          <w:tcPr>
            <w:tcW w:w="12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4. Segment and Geographical Information</w:t>
            </w:r>
          </w:p>
        </w:tc>
        <w:tc>
          <w:tcPr>
            <w:tcW w:w="120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57"/>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5. Receivables</w:t>
            </w:r>
          </w:p>
        </w:tc>
        <w:tc>
          <w:tcPr>
            <w:tcW w:w="120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57"/>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6. Financing Receivables</w:t>
            </w: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7. Leases</w:t>
            </w: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8. Acquisitions, Goodwill, and Other Intangible Assets</w:t>
            </w:r>
          </w:p>
        </w:tc>
        <w:tc>
          <w:tcPr>
            <w:tcW w:w="120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9. Borrowings</w:t>
            </w:r>
          </w:p>
        </w:tc>
        <w:tc>
          <w:tcPr>
            <w:tcW w:w="120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10. Postretirement Benefit Plans</w:t>
            </w:r>
          </w:p>
        </w:tc>
        <w:tc>
          <w:tcPr>
            <w:tcW w:w="120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57"/>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11. Income Taxes</w:t>
            </w:r>
          </w:p>
        </w:tc>
        <w:tc>
          <w:tcPr>
            <w:tcW w:w="12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12. Shareholders’ Equity</w:t>
            </w:r>
          </w:p>
        </w:tc>
        <w:tc>
          <w:tcPr>
            <w:tcW w:w="12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13. Financial Instruments and Fair Value Measurements</w:t>
            </w:r>
          </w:p>
        </w:tc>
        <w:tc>
          <w:tcPr>
            <w:tcW w:w="120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14. Commitments, Guarantees, Product Warranties, and Other Loss Contingencies</w:t>
            </w:r>
          </w:p>
        </w:tc>
        <w:tc>
          <w:tcPr>
            <w:tcW w:w="120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15. Restructuring Activities</w:t>
            </w:r>
          </w:p>
        </w:tc>
        <w:tc>
          <w:tcPr>
            <w:tcW w:w="120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16. Share-Based Compensation</w:t>
            </w:r>
          </w:p>
        </w:tc>
        <w:tc>
          <w:tcPr>
            <w:tcW w:w="120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17. Earnings Per Share</w:t>
            </w:r>
          </w:p>
        </w:tc>
        <w:tc>
          <w:tcPr>
            <w:tcW w:w="12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56"/>
        </w:trPr>
        <w:tc>
          <w:tcPr>
            <w:tcW w:w="1060" w:type="dxa"/>
            <w:vAlign w:val="bottom"/>
          </w:tcPr>
          <w:p>
            <w:pPr>
              <w:spacing w:after="0"/>
              <w:rPr>
                <w:sz w:val="22"/>
                <w:szCs w:val="22"/>
                <w:color w:val="auto"/>
              </w:rPr>
            </w:pPr>
          </w:p>
        </w:tc>
        <w:tc>
          <w:tcPr>
            <w:tcW w:w="8980" w:type="dxa"/>
            <w:vAlign w:val="bottom"/>
          </w:tcPr>
          <w:p>
            <w:pPr>
              <w:ind w:left="620"/>
              <w:spacing w:after="0"/>
              <w:rPr>
                <w:sz w:val="20"/>
                <w:szCs w:val="20"/>
                <w:color w:val="auto"/>
              </w:rPr>
            </w:pPr>
            <w:r>
              <w:rPr>
                <w:rFonts w:ascii="Arial" w:cs="Arial" w:eastAsia="Arial" w:hAnsi="Arial"/>
                <w:sz w:val="16"/>
                <w:szCs w:val="16"/>
                <w:color w:val="auto"/>
              </w:rPr>
              <w:t>Note 18. Supplemental Financial Information</w:t>
            </w:r>
          </w:p>
        </w:tc>
        <w:tc>
          <w:tcPr>
            <w:tcW w:w="1200" w:type="dxa"/>
            <w:vAlign w:val="bottom"/>
          </w:tcPr>
          <w:p>
            <w:pPr>
              <w:jc w:val="right"/>
              <w:spacing w:after="0"/>
              <w:rPr>
                <w:sz w:val="20"/>
                <w:szCs w:val="20"/>
                <w:color w:val="auto"/>
              </w:rPr>
            </w:pPr>
            <w:r>
              <w:rPr>
                <w:rFonts w:ascii="Arial" w:cs="Arial" w:eastAsia="Arial" w:hAnsi="Arial"/>
                <w:sz w:val="16"/>
                <w:szCs w:val="16"/>
                <w:color w:val="auto"/>
              </w:rPr>
              <w:t>98</w:t>
            </w:r>
          </w:p>
        </w:tc>
      </w:tr>
    </w:tbl>
    <w:p>
      <w:pPr>
        <w:spacing w:after="0" w:line="200" w:lineRule="exact"/>
        <w:rPr>
          <w:sz w:val="20"/>
          <w:szCs w:val="20"/>
          <w:color w:val="auto"/>
        </w:rPr>
      </w:pPr>
    </w:p>
    <w:p>
      <w:pPr>
        <w:sectPr>
          <w:pgSz w:w="11900" w:h="16838" w:orient="portrait"/>
          <w:cols w:equalWidth="0" w:num="1">
            <w:col w:w="11240"/>
          </w:cols>
          <w:pgMar w:left="320" w:top="1151" w:right="339" w:bottom="5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565"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5"/>
        </w:trPr>
        <w:tc>
          <w:tcPr>
            <w:tcW w:w="1060" w:type="dxa"/>
            <w:vAlign w:val="bottom"/>
          </w:tcPr>
          <w:p>
            <w:pPr>
              <w:spacing w:after="0"/>
              <w:rPr>
                <w:sz w:val="18"/>
                <w:szCs w:val="18"/>
                <w:color w:val="auto"/>
              </w:rPr>
            </w:pPr>
          </w:p>
        </w:tc>
        <w:tc>
          <w:tcPr>
            <w:tcW w:w="8640" w:type="dxa"/>
            <w:vAlign w:val="bottom"/>
          </w:tcPr>
          <w:p>
            <w:pPr>
              <w:ind w:left="620"/>
              <w:spacing w:after="0"/>
              <w:rPr>
                <w:sz w:val="20"/>
                <w:szCs w:val="20"/>
                <w:color w:val="auto"/>
              </w:rPr>
            </w:pPr>
            <w:r>
              <w:rPr>
                <w:rFonts w:ascii="Arial" w:cs="Arial" w:eastAsia="Arial" w:hAnsi="Arial"/>
                <w:sz w:val="16"/>
                <w:szCs w:val="16"/>
                <w:color w:val="auto"/>
              </w:rPr>
              <w:t>Note 19. Related Parties and Transition Services Agreement</w:t>
            </w:r>
          </w:p>
        </w:tc>
        <w:tc>
          <w:tcPr>
            <w:tcW w:w="15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56"/>
        </w:trPr>
        <w:tc>
          <w:tcPr>
            <w:tcW w:w="1060" w:type="dxa"/>
            <w:vAlign w:val="bottom"/>
          </w:tcPr>
          <w:p>
            <w:pPr>
              <w:spacing w:after="0"/>
              <w:rPr>
                <w:sz w:val="22"/>
                <w:szCs w:val="22"/>
                <w:color w:val="auto"/>
              </w:rPr>
            </w:pPr>
          </w:p>
        </w:tc>
        <w:tc>
          <w:tcPr>
            <w:tcW w:w="8640" w:type="dxa"/>
            <w:vAlign w:val="bottom"/>
          </w:tcPr>
          <w:p>
            <w:pPr>
              <w:ind w:left="620"/>
              <w:spacing w:after="0"/>
              <w:rPr>
                <w:sz w:val="20"/>
                <w:szCs w:val="20"/>
                <w:color w:val="auto"/>
              </w:rPr>
            </w:pPr>
            <w:r>
              <w:rPr>
                <w:rFonts w:ascii="Arial" w:cs="Arial" w:eastAsia="Arial" w:hAnsi="Arial"/>
                <w:sz w:val="16"/>
                <w:szCs w:val="16"/>
                <w:color w:val="auto"/>
              </w:rPr>
              <w:t>Note 20. Subsequent Events</w:t>
            </w:r>
          </w:p>
        </w:tc>
        <w:tc>
          <w:tcPr>
            <w:tcW w:w="15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65"/>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9.</w:t>
            </w:r>
          </w:p>
        </w:tc>
        <w:tc>
          <w:tcPr>
            <w:tcW w:w="8640" w:type="dxa"/>
            <w:vAlign w:val="bottom"/>
          </w:tcPr>
          <w:p>
            <w:pPr>
              <w:ind w:left="200"/>
              <w:spacing w:after="0"/>
              <w:rPr>
                <w:sz w:val="20"/>
                <w:szCs w:val="20"/>
                <w:color w:val="auto"/>
              </w:rPr>
            </w:pPr>
            <w:r>
              <w:rPr>
                <w:rFonts w:ascii="Arial" w:cs="Arial" w:eastAsia="Arial" w:hAnsi="Arial"/>
                <w:sz w:val="16"/>
                <w:szCs w:val="16"/>
                <w:color w:val="auto"/>
              </w:rPr>
              <w:t>Changes in and Disagreements with Accountants on Accounting and Financial Disclosure</w:t>
            </w:r>
          </w:p>
        </w:tc>
        <w:tc>
          <w:tcPr>
            <w:tcW w:w="15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9A.</w:t>
            </w:r>
          </w:p>
        </w:tc>
        <w:tc>
          <w:tcPr>
            <w:tcW w:w="8640" w:type="dxa"/>
            <w:vAlign w:val="bottom"/>
          </w:tcPr>
          <w:p>
            <w:pPr>
              <w:ind w:left="200"/>
              <w:spacing w:after="0"/>
              <w:rPr>
                <w:sz w:val="20"/>
                <w:szCs w:val="20"/>
                <w:color w:val="auto"/>
              </w:rPr>
            </w:pPr>
            <w:r>
              <w:rPr>
                <w:rFonts w:ascii="Arial" w:cs="Arial" w:eastAsia="Arial" w:hAnsi="Arial"/>
                <w:sz w:val="16"/>
                <w:szCs w:val="16"/>
                <w:color w:val="auto"/>
              </w:rPr>
              <w:t>Controls and Procedures</w:t>
            </w:r>
          </w:p>
        </w:tc>
        <w:tc>
          <w:tcPr>
            <w:tcW w:w="15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9B.</w:t>
            </w:r>
          </w:p>
        </w:tc>
        <w:tc>
          <w:tcPr>
            <w:tcW w:w="864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15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9C.</w:t>
            </w:r>
          </w:p>
        </w:tc>
        <w:tc>
          <w:tcPr>
            <w:tcW w:w="8640" w:type="dxa"/>
            <w:vAlign w:val="bottom"/>
          </w:tcPr>
          <w:p>
            <w:pPr>
              <w:ind w:left="200"/>
              <w:spacing w:after="0"/>
              <w:rPr>
                <w:sz w:val="20"/>
                <w:szCs w:val="20"/>
                <w:color w:val="auto"/>
              </w:rPr>
            </w:pPr>
            <w:r>
              <w:rPr>
                <w:rFonts w:ascii="Arial" w:cs="Arial" w:eastAsia="Arial" w:hAnsi="Arial"/>
                <w:sz w:val="16"/>
                <w:szCs w:val="16"/>
                <w:color w:val="auto"/>
              </w:rPr>
              <w:t>Disclosure Regarding Foreign Jurisdictions that Prevent Inspections</w:t>
            </w:r>
          </w:p>
        </w:tc>
        <w:tc>
          <w:tcPr>
            <w:tcW w:w="15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III.</w:t>
            </w:r>
          </w:p>
        </w:tc>
        <w:tc>
          <w:tcPr>
            <w:tcW w:w="8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
        </w:trPr>
        <w:tc>
          <w:tcPr>
            <w:tcW w:w="1060" w:type="dxa"/>
            <w:vAlign w:val="bottom"/>
            <w:tcBorders>
              <w:bottom w:val="single" w:sz="8" w:color="6400A0"/>
            </w:tcBorders>
          </w:tcPr>
          <w:p>
            <w:pPr>
              <w:spacing w:after="0" w:line="20" w:lineRule="exact"/>
              <w:rPr>
                <w:sz w:val="1"/>
                <w:szCs w:val="1"/>
                <w:color w:val="auto"/>
              </w:rPr>
            </w:pPr>
          </w:p>
        </w:tc>
        <w:tc>
          <w:tcPr>
            <w:tcW w:w="8640" w:type="dxa"/>
            <w:vAlign w:val="bottom"/>
            <w:tcBorders>
              <w:bottom w:val="single" w:sz="8" w:color="6400A0"/>
            </w:tcBorders>
          </w:tcPr>
          <w:p>
            <w:pPr>
              <w:spacing w:after="0" w:line="20" w:lineRule="exact"/>
              <w:rPr>
                <w:sz w:val="1"/>
                <w:szCs w:val="1"/>
                <w:color w:val="auto"/>
              </w:rPr>
            </w:pPr>
          </w:p>
        </w:tc>
        <w:tc>
          <w:tcPr>
            <w:tcW w:w="1540" w:type="dxa"/>
            <w:vAlign w:val="bottom"/>
            <w:tcBorders>
              <w:bottom w:val="single" w:sz="8" w:color="6400A0"/>
            </w:tcBorders>
          </w:tcPr>
          <w:p>
            <w:pPr>
              <w:spacing w:after="0" w:line="20" w:lineRule="exact"/>
              <w:rPr>
                <w:sz w:val="1"/>
                <w:szCs w:val="1"/>
                <w:color w:val="auto"/>
              </w:rPr>
            </w:pPr>
          </w:p>
        </w:tc>
      </w:tr>
      <w:tr>
        <w:trPr>
          <w:trHeight w:val="229"/>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10.</w:t>
            </w:r>
          </w:p>
        </w:tc>
        <w:tc>
          <w:tcPr>
            <w:tcW w:w="8640" w:type="dxa"/>
            <w:vAlign w:val="bottom"/>
          </w:tcPr>
          <w:p>
            <w:pPr>
              <w:ind w:left="200"/>
              <w:spacing w:after="0"/>
              <w:rPr>
                <w:sz w:val="20"/>
                <w:szCs w:val="20"/>
                <w:color w:val="auto"/>
              </w:rPr>
            </w:pPr>
            <w:r>
              <w:rPr>
                <w:rFonts w:ascii="Arial" w:cs="Arial" w:eastAsia="Arial" w:hAnsi="Arial"/>
                <w:sz w:val="16"/>
                <w:szCs w:val="16"/>
                <w:color w:val="auto"/>
              </w:rPr>
              <w:t>Directors, Executive Officers and Corporate Governance</w:t>
            </w:r>
          </w:p>
        </w:tc>
        <w:tc>
          <w:tcPr>
            <w:tcW w:w="15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11.</w:t>
            </w:r>
          </w:p>
        </w:tc>
        <w:tc>
          <w:tcPr>
            <w:tcW w:w="8640" w:type="dxa"/>
            <w:vAlign w:val="bottom"/>
          </w:tcPr>
          <w:p>
            <w:pPr>
              <w:ind w:left="200"/>
              <w:spacing w:after="0"/>
              <w:rPr>
                <w:sz w:val="20"/>
                <w:szCs w:val="20"/>
                <w:color w:val="auto"/>
              </w:rPr>
            </w:pPr>
            <w:r>
              <w:rPr>
                <w:rFonts w:ascii="Arial" w:cs="Arial" w:eastAsia="Arial" w:hAnsi="Arial"/>
                <w:sz w:val="16"/>
                <w:szCs w:val="16"/>
                <w:color w:val="auto"/>
              </w:rPr>
              <w:t>Executive Compensation</w:t>
            </w:r>
          </w:p>
        </w:tc>
        <w:tc>
          <w:tcPr>
            <w:tcW w:w="15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12.</w:t>
            </w:r>
          </w:p>
        </w:tc>
        <w:tc>
          <w:tcPr>
            <w:tcW w:w="8640" w:type="dxa"/>
            <w:vAlign w:val="bottom"/>
          </w:tcPr>
          <w:p>
            <w:pPr>
              <w:ind w:left="200"/>
              <w:spacing w:after="0"/>
              <w:rPr>
                <w:sz w:val="20"/>
                <w:szCs w:val="20"/>
                <w:color w:val="auto"/>
              </w:rPr>
            </w:pPr>
            <w:r>
              <w:rPr>
                <w:rFonts w:ascii="Arial" w:cs="Arial" w:eastAsia="Arial" w:hAnsi="Arial"/>
                <w:sz w:val="16"/>
                <w:szCs w:val="16"/>
                <w:color w:val="auto"/>
              </w:rPr>
              <w:t>Security Ownership of Certain Beneficial Owners and Management and Related Stockholder Matters</w:t>
            </w:r>
          </w:p>
        </w:tc>
        <w:tc>
          <w:tcPr>
            <w:tcW w:w="15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13.</w:t>
            </w:r>
          </w:p>
        </w:tc>
        <w:tc>
          <w:tcPr>
            <w:tcW w:w="8640" w:type="dxa"/>
            <w:vAlign w:val="bottom"/>
          </w:tcPr>
          <w:p>
            <w:pPr>
              <w:ind w:left="20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15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7"/>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14.</w:t>
            </w:r>
          </w:p>
        </w:tc>
        <w:tc>
          <w:tcPr>
            <w:tcW w:w="8640" w:type="dxa"/>
            <w:vAlign w:val="bottom"/>
          </w:tcPr>
          <w:p>
            <w:pPr>
              <w:ind w:left="200"/>
              <w:spacing w:after="0"/>
              <w:rPr>
                <w:sz w:val="20"/>
                <w:szCs w:val="20"/>
                <w:color w:val="auto"/>
              </w:rPr>
            </w:pPr>
            <w:r>
              <w:rPr>
                <w:rFonts w:ascii="Arial" w:cs="Arial" w:eastAsia="Arial" w:hAnsi="Arial"/>
                <w:sz w:val="16"/>
                <w:szCs w:val="16"/>
                <w:color w:val="auto"/>
              </w:rPr>
              <w:t>Principal Accountant Fees and Services</w:t>
            </w:r>
          </w:p>
        </w:tc>
        <w:tc>
          <w:tcPr>
            <w:tcW w:w="15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86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
        </w:trPr>
        <w:tc>
          <w:tcPr>
            <w:tcW w:w="1060" w:type="dxa"/>
            <w:vAlign w:val="bottom"/>
            <w:tcBorders>
              <w:bottom w:val="single" w:sz="8" w:color="6400A0"/>
            </w:tcBorders>
          </w:tcPr>
          <w:p>
            <w:pPr>
              <w:spacing w:after="0" w:line="20" w:lineRule="exact"/>
              <w:rPr>
                <w:sz w:val="1"/>
                <w:szCs w:val="1"/>
                <w:color w:val="auto"/>
              </w:rPr>
            </w:pPr>
          </w:p>
        </w:tc>
        <w:tc>
          <w:tcPr>
            <w:tcW w:w="8640" w:type="dxa"/>
            <w:vAlign w:val="bottom"/>
            <w:tcBorders>
              <w:bottom w:val="single" w:sz="8" w:color="6400A0"/>
            </w:tcBorders>
          </w:tcPr>
          <w:p>
            <w:pPr>
              <w:spacing w:after="0" w:line="20" w:lineRule="exact"/>
              <w:rPr>
                <w:sz w:val="1"/>
                <w:szCs w:val="1"/>
                <w:color w:val="auto"/>
              </w:rPr>
            </w:pPr>
          </w:p>
        </w:tc>
        <w:tc>
          <w:tcPr>
            <w:tcW w:w="1540" w:type="dxa"/>
            <w:vAlign w:val="bottom"/>
            <w:tcBorders>
              <w:bottom w:val="single" w:sz="8" w:color="6400A0"/>
            </w:tcBorders>
          </w:tcPr>
          <w:p>
            <w:pPr>
              <w:spacing w:after="0" w:line="20" w:lineRule="exact"/>
              <w:rPr>
                <w:sz w:val="1"/>
                <w:szCs w:val="1"/>
                <w:color w:val="auto"/>
              </w:rPr>
            </w:pPr>
          </w:p>
        </w:tc>
      </w:tr>
      <w:tr>
        <w:trPr>
          <w:trHeight w:val="229"/>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15.</w:t>
            </w:r>
          </w:p>
        </w:tc>
        <w:tc>
          <w:tcPr>
            <w:tcW w:w="8640" w:type="dxa"/>
            <w:vAlign w:val="bottom"/>
          </w:tcPr>
          <w:p>
            <w:pPr>
              <w:ind w:left="200"/>
              <w:spacing w:after="0"/>
              <w:rPr>
                <w:sz w:val="20"/>
                <w:szCs w:val="20"/>
                <w:color w:val="auto"/>
              </w:rPr>
            </w:pPr>
            <w:r>
              <w:rPr>
                <w:rFonts w:ascii="Arial" w:cs="Arial" w:eastAsia="Arial" w:hAnsi="Arial"/>
                <w:sz w:val="16"/>
                <w:szCs w:val="16"/>
                <w:color w:val="auto"/>
              </w:rPr>
              <w:t>Exhibits and Financial Statement Schedules</w:t>
            </w:r>
          </w:p>
        </w:tc>
        <w:tc>
          <w:tcPr>
            <w:tcW w:w="154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56"/>
        </w:trPr>
        <w:tc>
          <w:tcPr>
            <w:tcW w:w="1060" w:type="dxa"/>
            <w:vAlign w:val="bottom"/>
          </w:tcPr>
          <w:p>
            <w:pPr>
              <w:ind w:left="240"/>
              <w:spacing w:after="0"/>
              <w:rPr>
                <w:sz w:val="20"/>
                <w:szCs w:val="20"/>
                <w:color w:val="auto"/>
              </w:rPr>
            </w:pPr>
            <w:r>
              <w:rPr>
                <w:rFonts w:ascii="Arial" w:cs="Arial" w:eastAsia="Arial" w:hAnsi="Arial"/>
                <w:sz w:val="16"/>
                <w:szCs w:val="16"/>
                <w:b w:val="1"/>
                <w:bCs w:val="1"/>
                <w:color w:val="auto"/>
              </w:rPr>
              <w:t>Item 16.</w:t>
            </w:r>
          </w:p>
        </w:tc>
        <w:tc>
          <w:tcPr>
            <w:tcW w:w="8640" w:type="dxa"/>
            <w:vAlign w:val="bottom"/>
          </w:tcPr>
          <w:p>
            <w:pPr>
              <w:ind w:left="200"/>
              <w:spacing w:after="0"/>
              <w:rPr>
                <w:sz w:val="20"/>
                <w:szCs w:val="20"/>
                <w:color w:val="auto"/>
              </w:rPr>
            </w:pPr>
            <w:r>
              <w:rPr>
                <w:rFonts w:ascii="Arial" w:cs="Arial" w:eastAsia="Arial" w:hAnsi="Arial"/>
                <w:sz w:val="16"/>
                <w:szCs w:val="16"/>
                <w:color w:val="auto"/>
              </w:rPr>
              <w:t>Form 10-K Summary</w:t>
            </w:r>
          </w:p>
        </w:tc>
        <w:tc>
          <w:tcPr>
            <w:tcW w:w="154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473"/>
        </w:trPr>
        <w:tc>
          <w:tcPr>
            <w:tcW w:w="1060" w:type="dxa"/>
            <w:vAlign w:val="bottom"/>
          </w:tcPr>
          <w:p>
            <w:pPr>
              <w:ind w:left="20"/>
              <w:spacing w:after="0"/>
              <w:rPr>
                <w:sz w:val="20"/>
                <w:szCs w:val="20"/>
                <w:color w:val="auto"/>
              </w:rPr>
            </w:pPr>
            <w:r>
              <w:rPr>
                <w:rFonts w:ascii="Arial" w:cs="Arial" w:eastAsia="Arial" w:hAnsi="Arial"/>
                <w:sz w:val="16"/>
                <w:szCs w:val="16"/>
                <w:b w:val="1"/>
                <w:bCs w:val="1"/>
                <w:color w:val="auto"/>
              </w:rPr>
              <w:t>Signatures</w:t>
            </w:r>
          </w:p>
        </w:tc>
        <w:tc>
          <w:tcPr>
            <w:tcW w:w="86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7"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This Annual Report on Form 10-K contains forward-looking statements. These forward-looking statements might be identified by words, and variations of words, such as “will,” “expect,” “may,” “would,” “could,” “plan,” “believe,” “anticipate,” “intend,” “estimate,” “potential,” “position,” “forecast,” “target,” “guidance,” “outlook,” and similar expressions. These forward-looking statements may include, but are not limited to, statements about our business, financial performance, financial condition, and results of operations, including revenue, revenue growth, profit, taxes, earnings per share, and cash flows; the impacts of macroeconomic and market conditions, including the impact of tariffs and other trade restrictions, and volatility on our business, operations, financial results, and financial position and on supply chains and the world economy; our cost structure; our funding and liquidity; the impacts on our business of manufacturing, sourcing, and supply chain management; the Russia and Ukraine conflict; share repurchases; and risks related to foreign currency exchange, interest rates, and commodity price volatility. These forward-looking statements involve risks and uncertainties, many of which are beyond our control. Factors that could cause our actual results to differ materially from those described in our forward-looking statements include, but are not limited to, operating in highly competitive markets; global geopolitical and economic instability, including as a result of changes in trade and tariff policy, and international conflicts and tensions, including between Ukraine and Russia and in other regions; public health crises, epidemics, and pandemics, and their effects on our business; changes in third-party and government reimbursement processes, rates, and contractual relationships, including related to government shutdowns, and changes in the mix of public and private payers; demand for our products, services, or solutions and factors that affect that demand; developments in the market in China; our ability to control increases in healthcare costs and any subsequent effect on demand for our products, services, or solutions; our ability to successfully complete strategic transactions; the actions or inactions of third parties with whom we partner and the various collaboration, licensing, and other partnerships and alliances we have with third parties; the impacts related to our increasing focus on and investment in cloud, edge computing, artificial intelligence (“AI”), and software offerings; management of our supply chain and our ability to cost-effectively secure the materials we need to operate our business; disruptions in our operations; the impact of potential information technology, cybersecurity, or data security breaches; maintenance and protection of our intellectual property rights, as well as maintenance of successful research and development efforts with respect to commercially successful products and technologies; our ability to attract and/or retain key talent and qualified employees; increasing attention to sustainability matters; compliance with the various legal, regulatory, tax, privacy, and other laws to which we are subject, such as the Foreign Corrupt Practices Act and similar anti-corruption and anti-bribery laws globally, and related changes, claims, inquiries, investigations, or actions; the impact of potential product liability claims or potential litigation, arbitration, or similar proceedings; and our level of indebtedness and the impact of complying with the covenants and other terms of our debt instruments on our business. Please also see Item 1A, “Risk Factors” of this Annual Report on Form 10-K filed with the United States (“U.S.”) Securities and Exchange Commission (“SEC”) and any updates or amendments we make in future filings. There may be other factors not presently known to us or which we currently consider to be immaterial that could cause our actual results to differ materially from those projected in any forward-looking statements we make. We do not undertake any obligation to update or revise our forward-looking statements except as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GE HealthCare Technologies Inc. (“GE HealthCare,” the “Company,” “our,” “us,” or “we”) is a leading global healthcare solutions provider of advanced medical technology, pharmaceutical diagnostics, and AI, cloud and software solutions that help clinicians tackle the world’s most complex diseases. We have approximately 54,000 colleagues dedicated to our purpose to create a world where healthcare has no limits. Serving patients and providers for nearly 130 years, GE HealthCare is delivering bold innovations designed for the next era of medicine to help clinicians deliver more personalized, precise patient care. This is complemented by our broad service capabilities and dedication to quality and integrity with a strong operational culture, supported by our lean business system, Heartbeat.</w:t>
      </w:r>
    </w:p>
    <w:p>
      <w:pPr>
        <w:spacing w:after="0" w:line="203"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We generate revenue from the sale of medical devices, consumable products, service capabilities, and AI-enabled cloud and software solutions. We serve customers in over 160 countries with a global team of approximately 9,700 sales professionals and 8,900 field service engineers. Our customers are hospitals, health systems, and researchers, including public, private, academic, and government institutions. Our comprehensive portfolio of solutions addresses the biggest challenges facing healthcare today, and is designed to advance care delivery for customers, reduce disease burden, enable better patient outcomes, and drive sustainable growth for the company. These qualities foster trust, loyalty, and partnership with our global customer base. Our revenues, operating profits, and cash flows vary from quarter to quarter. Financial results in the fourth quarter have historically been higher than in other quarters due to the spending patterns of our customers.</w:t>
      </w:r>
    </w:p>
    <w:p>
      <w:pPr>
        <w:spacing w:after="0" w:line="201" w:lineRule="exact"/>
        <w:rPr>
          <w:sz w:val="20"/>
          <w:szCs w:val="20"/>
          <w:color w:val="auto"/>
        </w:rPr>
      </w:pPr>
    </w:p>
    <w:p>
      <w:pPr>
        <w:ind w:right="500"/>
        <w:spacing w:after="0" w:line="304" w:lineRule="auto"/>
        <w:rPr>
          <w:sz w:val="20"/>
          <w:szCs w:val="20"/>
          <w:color w:val="auto"/>
        </w:rPr>
      </w:pPr>
      <w:r>
        <w:rPr>
          <w:rFonts w:ascii="Arial" w:cs="Arial" w:eastAsia="Arial" w:hAnsi="Arial"/>
          <w:sz w:val="16"/>
          <w:szCs w:val="16"/>
          <w:color w:val="auto"/>
        </w:rPr>
        <w:t>GE HealthCare Technologies Inc. is a Delaware corporation with corporate headquarters in Chicago, Illinois. On January 3, 2023, the General Electric Company, which now operates as GE Aerospace (“GE”), completed the spin-off of GE HealthCare (the “Spin-Off”).</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SEGMENTS</w:t>
      </w:r>
    </w:p>
    <w:p>
      <w:pPr>
        <w:spacing w:after="0" w:line="113"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Our business is organized into four segments that are aligned with the industries we serve: Imaging, Advanced Visualization Solutions (“AVS”), Patient Care Solutions (“PCS”), and Pharmaceutical Diagnostics (“PDx”).</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IMAGING.</w:t>
      </w:r>
    </w:p>
    <w:p>
      <w:pPr>
        <w:spacing w:after="0" w:line="262"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Our Imaging segment includes five product lines and associated service capabilities: Molecular Imaging (“MI”), Computed Tomography (“CT”), Magnetic Resonance (“MR”), Women’s Health, and X-ray. We manage our Molecular Imaging and Computed Tomography product lines together (“MI/CT”) and our Women’s Health and X-ray product lines together (“WH/XR”). Our products support providers in the delivery of care for a broad spectrum of clinical specialties, including oncology, cardiology, neurology, nuclear medicine, orthopedics, women’s health, pediatrics, and surgery.</w:t>
      </w:r>
    </w:p>
    <w:p>
      <w:pPr>
        <w:spacing w:after="0" w:line="200" w:lineRule="exact"/>
        <w:rPr>
          <w:sz w:val="20"/>
          <w:szCs w:val="20"/>
          <w:color w:val="auto"/>
        </w:rPr>
      </w:pPr>
    </w:p>
    <w:p>
      <w:pPr>
        <w:ind w:left="660" w:right="100" w:hanging="328"/>
        <w:spacing w:after="0" w:line="26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Molecular imaging enables the visualization, characterization, and quantification of functional processes taking place at the cellular and subcellular levels within patients. The images produced by MI systems allow clinicians to study the cellular and molecular pathways and mechanisms of disease in patients. We offer a complete MI solution from cyclotrons, chemistry synthesis, positron emission tomography (“PET”), computed tomography (“PET/CT”), single-photon emission computed tomography (“SPECT”), PET/MR, and nuclear medicine to advanced digital and AI-enabled solutions. Our MI team works closely with the PDx segment and their innovations and collaborations with pharmaceutical companies.</w:t>
      </w:r>
    </w:p>
    <w:p>
      <w:pPr>
        <w:spacing w:after="0" w:line="50" w:lineRule="exact"/>
        <w:rPr>
          <w:rFonts w:ascii="Arial" w:cs="Arial" w:eastAsia="Arial" w:hAnsi="Arial"/>
          <w:sz w:val="16"/>
          <w:szCs w:val="16"/>
          <w:color w:val="auto"/>
        </w:rPr>
      </w:pPr>
    </w:p>
    <w:p>
      <w:pPr>
        <w:ind w:left="660" w:right="20" w:hanging="328"/>
        <w:spacing w:after="0" w:line="26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Computed tomography scans render 3D anatomical images of structures, such as bone, soft tissue, and air cavities using an X-ray tube that rotates around a patient. The images are used in a wide variety of applications, including the detection of tumors or lesions, blocked blood vessels in the brain, abnormal heart conditions, complex bone fractures, and internal injuries from trauma. Our comprehensive CT portfolio includes multi-purpose and specialty scanners.</w:t>
      </w:r>
    </w:p>
    <w:p>
      <w:pPr>
        <w:spacing w:after="0" w:line="51" w:lineRule="exact"/>
        <w:rPr>
          <w:rFonts w:ascii="Arial" w:cs="Arial" w:eastAsia="Arial" w:hAnsi="Arial"/>
          <w:sz w:val="16"/>
          <w:szCs w:val="16"/>
          <w:color w:val="auto"/>
        </w:rPr>
      </w:pPr>
    </w:p>
    <w:p>
      <w:pPr>
        <w:ind w:left="660" w:right="20" w:hanging="328"/>
        <w:spacing w:after="0" w:line="265"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Magnetic resonance is a non-invasive imaging technology that produces detailed anatomical images of almost every internal structure in the human body, such as the brain, spinal cord, heart, breast, kidneys, muscles, ligaments, and tendons. MR can also be used for functional imaging, and it is well-suited for disease detection, diagnosis, and treatment monitoring of a variety of conditions, including stroke, cancer, trauma, aneurysm, multiple sclerosis, cardiomyopathy, and congenital disorders. Our MR portfolio includes scanners for a range of clinical capabilities through different bore sizes, magnetic field strengths, and scalable platforms.</w:t>
      </w:r>
    </w:p>
    <w:p>
      <w:pPr>
        <w:spacing w:after="0" w:line="50" w:lineRule="exact"/>
        <w:rPr>
          <w:rFonts w:ascii="Arial" w:cs="Arial" w:eastAsia="Arial" w:hAnsi="Arial"/>
          <w:sz w:val="16"/>
          <w:szCs w:val="16"/>
          <w:color w:val="auto"/>
        </w:rPr>
      </w:pPr>
    </w:p>
    <w:p>
      <w:pPr>
        <w:jc w:val="both"/>
        <w:ind w:left="660" w:right="40" w:hanging="328"/>
        <w:spacing w:after="0" w:line="266"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Women’s Health products use X-ray technology to help clinicians screen for and diagnose breast cancer as well as bone and metabolic diseases in women. The product portfolio includes imaging and biopsy positioning systems designed to image the breast and dual energy X-ray absorptiometry scanners designed to image bones with low mineral density.</w:t>
      </w:r>
    </w:p>
    <w:p>
      <w:pPr>
        <w:spacing w:after="0" w:line="49" w:lineRule="exact"/>
        <w:rPr>
          <w:rFonts w:ascii="Arial" w:cs="Arial" w:eastAsia="Arial" w:hAnsi="Arial"/>
          <w:sz w:val="16"/>
          <w:szCs w:val="16"/>
          <w:color w:val="auto"/>
        </w:rPr>
      </w:pPr>
    </w:p>
    <w:p>
      <w:pPr>
        <w:ind w:left="660" w:right="400" w:hanging="328"/>
        <w:spacing w:after="0" w:line="271"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X-ray systems are used by clinicians to perform first-line diagnostic imaging examinations of anatomical structures in the body, such as bones, lungs, and the gastrointestinal tract. Our X-ray product portfolio includes systems for three distinct clinical situations: fixed room radiography products installed in hospitals and imaging centers; mobile radiography products used for bedside or other point-of-care imaging needs; and fluoroscopy products installed in hospitals for dynamic or “moving” X-ray imaging in applications like gastrointestinal examinations.</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We also offer a suite of AI-enabled software and applications that help clinicians improve productivity, address staff shortages, and deliver better patient outcomes. These software solutions and applications are upgradable through the lifecycle of the equipment and are especially beneficial for multi-site, multi-disciplinary networks that have complex operations.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In addition to our core products, digital solutions, and service offerings, we provide complementary enterprise solutions, such as education and training and data integration services. Our broad enterprise solutions used along the imaging continuum enable us to drive connectivity across healthcare systems and throughout the product lifecycle.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ADVANCED VISUALIZATION SOLUTIONS.</w:t>
      </w:r>
    </w:p>
    <w:p>
      <w:pPr>
        <w:spacing w:after="0" w:line="26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Our AVS segment is focused on designing solutions that are aligned by specialties or care areas for specific clinical workflows to better serve the unique needs of our customers and improve patient outcomes. The product portfolio serves customers across two core areas: Specialized Ultrasound and Procedural Guidance. Specialized Ultrasound includes Comprehensive Care Ultrasound and Women’s Health Ultrasound. Procedural Guidance includes CardioVascular and Interventional Solutions, and Surgical Innovations. Ultrasound technologies are a meaningful component of both areas, reflecting their use across diagnostic, interventional, and surgical settings.</w:t>
      </w:r>
    </w:p>
    <w:p>
      <w:pPr>
        <w:spacing w:after="0" w:line="218" w:lineRule="exact"/>
        <w:rPr>
          <w:sz w:val="20"/>
          <w:szCs w:val="20"/>
          <w:color w:val="auto"/>
        </w:rPr>
      </w:pPr>
    </w:p>
    <w:p>
      <w:pPr>
        <w:ind w:left="660" w:right="40" w:hanging="328"/>
        <w:spacing w:after="0" w:line="260"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Comprehensive Care Ultrasound includes systems that produce images to support precise screening, diagnosis, monitoring, and treatment across the whole body, including liver, thyroid, kidney, breast, vascular, and transcranial applications. These systems include point-of-care and handheld ultrasound devices to support clinical decision-making throughout various care pathways in diverse sites of care. Our systems combine high image quality with comprehensive clinical tools including measurement quantification, workflow automation, cross-modality networking, real-time and AI-enabled scan guidance, and cloud-based technologies with versatility, accessibility, and portability required to deliver care.</w:t>
      </w:r>
    </w:p>
    <w:p>
      <w:pPr>
        <w:spacing w:after="0" w:line="56" w:lineRule="exact"/>
        <w:rPr>
          <w:rFonts w:ascii="Arial" w:cs="Arial" w:eastAsia="Arial" w:hAnsi="Arial"/>
          <w:sz w:val="16"/>
          <w:szCs w:val="16"/>
          <w:color w:val="auto"/>
        </w:rPr>
      </w:pPr>
    </w:p>
    <w:p>
      <w:pPr>
        <w:ind w:left="660" w:right="220" w:hanging="328"/>
        <w:spacing w:after="0" w:line="26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Women’s Health Ultrasound provides systems to support obstetrics, gynecology, and assisted reproductive medicine. These care areas require specially designed ultrasound products that account for patient comfort and workflow constraints to enable practitioners to provide higher-quality screening, exams, and procedural care, and give clinicians images with the clarity and definition they need to focus on early detection and intervention.</w:t>
      </w:r>
    </w:p>
    <w:p>
      <w:pPr>
        <w:spacing w:after="0" w:line="51" w:lineRule="exact"/>
        <w:rPr>
          <w:rFonts w:ascii="Arial" w:cs="Arial" w:eastAsia="Arial" w:hAnsi="Arial"/>
          <w:sz w:val="16"/>
          <w:szCs w:val="16"/>
          <w:color w:val="auto"/>
        </w:rPr>
      </w:pPr>
    </w:p>
    <w:p>
      <w:pPr>
        <w:ind w:left="660" w:right="40" w:hanging="328"/>
        <w:spacing w:after="0" w:line="26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CardioVascular and Interventional Solutions provides clinicians with innovative solutions that enhance diagnoses, intervention, treatment, and monitoring in therapeutic areas such as cardiology, peripheral vascular, neurology and oncology. Our integrated portfolio of ultrasound systems used to assess the structure and function of the heart as well as real-time X-ray systems, combines advanced imaging, workflow intelligence, and ergonomic designs, to support healthcare providers in delivering care with greater confidence and efficiency. Together, these technologies facilitate image guided therapy across a full spectrum of interventional procedures.</w:t>
      </w:r>
    </w:p>
    <w:p>
      <w:pPr>
        <w:spacing w:after="0" w:line="50" w:lineRule="exact"/>
        <w:rPr>
          <w:rFonts w:ascii="Arial" w:cs="Arial" w:eastAsia="Arial" w:hAnsi="Arial"/>
          <w:sz w:val="16"/>
          <w:szCs w:val="16"/>
          <w:color w:val="auto"/>
        </w:rPr>
      </w:pPr>
    </w:p>
    <w:p>
      <w:pPr>
        <w:ind w:left="660" w:right="100" w:hanging="328"/>
        <w:spacing w:after="0" w:line="26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Surgical Innovations products are used in the operating environment and include a broad portfolio of advanced mobile surgical C-arms that meet clinical needs for surgical imaging and are designed to be easily maneuverable in operating rooms and adaptable for various surgical procedures. Surgical visualization and guidance technology expands the use of ultrasound beyond diagnostics to provide real-time information during surgical procedures to help guide interventions and navigate inside the human body.</w:t>
      </w:r>
    </w:p>
    <w:p>
      <w:pPr>
        <w:spacing w:after="0" w:line="21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Each clinical area is supported with digital and AI solutions designed to deliver optimal workflows and increase efficiency. Technologies like AI-guided ultrasound offer healthcare providers real-time guidance and step-by-step instructions to help clinicians conduct scans for cardiac assessments and capture high-quality images at the point-of-care. Other digital automation and workflow solutions across the AVS portfolio can help reduce imaging barriers and repetitive tasks, increase standardization, and expand collaborative capacity. Clinicians are further supported by our broad probe portfolio which includes specialized probes for interventional procedures. Our equipment, software, and AI solutions are complemented by service offerings that are highly regionalized according to local requirements, varying customer needs, and cross-modality service strategies.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PATIENT CARE SOLUTIONS.</w:t>
      </w:r>
    </w:p>
    <w:p>
      <w:pPr>
        <w:spacing w:after="0" w:line="24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PCS segment serves care teams and healthcare systems across multiple patient care needs including Monitoring Solutions and Life Support Solutions. Monitoring Solutions includes Patient Monitoring and Diagnostic Cardiology. Life Support Solutions includes Maternal Infant Care and Anesthesia. Both Monitoring Solutions and Life Support Solutions include services, consumables, and digital applications.</w:t>
      </w:r>
    </w:p>
    <w:p>
      <w:pPr>
        <w:spacing w:after="0" w:line="205" w:lineRule="exact"/>
        <w:rPr>
          <w:sz w:val="20"/>
          <w:szCs w:val="20"/>
          <w:color w:val="auto"/>
        </w:rPr>
      </w:pPr>
    </w:p>
    <w:p>
      <w:pPr>
        <w:ind w:left="660" w:hanging="328"/>
        <w:spacing w:after="0" w:line="260"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Patient Monitoring solutions enable clinicians to flex care based on a patient’s acuity and across the care continuum. Our portfolio ranges from spot-check to continuous patient monitoring, including comprehensive multi-parameter monitors; central stations; continuous, wearable, and mobile monitors; transport monitors; cardiac telemetry solutions; spot-check monitors; and visualization, alarm distribution, and care team collaboration solutions. Our Patient Monitoring business includes proprietary parameters and complementary consumables as well as original equipment manufacturers’ parameters that are integrated into our monitoring fleet, of which a significant portion represents recurring revenue streams.</w:t>
      </w:r>
    </w:p>
    <w:p>
      <w:pPr>
        <w:spacing w:after="0" w:line="56" w:lineRule="exact"/>
        <w:rPr>
          <w:rFonts w:ascii="Arial" w:cs="Arial" w:eastAsia="Arial" w:hAnsi="Arial"/>
          <w:sz w:val="16"/>
          <w:szCs w:val="16"/>
          <w:color w:val="auto"/>
        </w:rPr>
      </w:pPr>
    </w:p>
    <w:p>
      <w:pPr>
        <w:ind w:left="660" w:right="60" w:hanging="328"/>
        <w:spacing w:after="0" w:line="277"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Diagnostic Cardiology portfolio offers electrocardiogram (“ECG” or “EKG”) solutions which are typically the first diagnostic tools to detect cardiovascular disease, a leading cause of death globally. We provide resting ECG devices, stress ECG devices, and ECG management digital solutions, including interpretation algorithms. Our ECG ecosystem obtains, interprets, and stores ECGs captured from devices in both hospital and home settings, supporting patients and clinicians along the continuum of cardiology care.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line="26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Maternal Infant Care portfolio offers products that are used in the labor and delivery department to monitor important maternal and fetal parameters, and in neonatal intensive care to assist in critical care for newborns. Our product portfolio includes neonatal incubators, infant warmers, resuscitation devices, phototherapy equipment, maternal and fetal monitors, and digital offerings, such as maternal and fetal heart rate surveillance software. Our products have added innovation in design, including integrated scales, hands-free alarm silencing, angled radiant heating, and thermoregulation.</w:t>
      </w:r>
    </w:p>
    <w:p>
      <w:pPr>
        <w:spacing w:after="0" w:line="50" w:lineRule="exact"/>
        <w:rPr>
          <w:rFonts w:ascii="Arial" w:cs="Arial" w:eastAsia="Arial" w:hAnsi="Arial"/>
          <w:sz w:val="16"/>
          <w:szCs w:val="16"/>
          <w:color w:val="auto"/>
        </w:rPr>
      </w:pPr>
    </w:p>
    <w:p>
      <w:pPr>
        <w:ind w:left="660" w:right="40" w:hanging="328"/>
        <w:spacing w:after="0" w:line="266"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Anesthesia portfolio offers life support solutions via ventilation technology and are used by anesthesiologists and nurse anesthetists to ventilate and deliver general anesthetic drugs to patients during surgeries. Our products are installed in many operating rooms, non-operating room anesthesia environments, and ambulatory surgical centers across the world.</w:t>
      </w:r>
    </w:p>
    <w:p>
      <w:pPr>
        <w:spacing w:after="0" w:line="63" w:lineRule="exact"/>
        <w:rPr>
          <w:rFonts w:ascii="Arial" w:cs="Arial" w:eastAsia="Arial" w:hAnsi="Arial"/>
          <w:sz w:val="16"/>
          <w:szCs w:val="16"/>
          <w:color w:val="auto"/>
        </w:rPr>
      </w:pPr>
    </w:p>
    <w:p>
      <w:pPr>
        <w:ind w:left="660" w:right="140" w:hanging="328"/>
        <w:spacing w:after="0" w:line="265"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Consumables portfolio offers both clinical and non-clinical accessories used throughout the hospital primarily with our monitors and therapy devices, such as blood pressure, ECG, pulse oximetry, temperature, respiratory rate, blood oxygen level, and brain activity. Both our consumables and services provide our customers with ongoing clinical impact and protect their capital investment while providing us with recurring revenue streams.</w:t>
      </w:r>
    </w:p>
    <w:p>
      <w:pPr>
        <w:spacing w:after="0" w:line="51" w:lineRule="exact"/>
        <w:rPr>
          <w:rFonts w:ascii="Arial" w:cs="Arial" w:eastAsia="Arial" w:hAnsi="Arial"/>
          <w:sz w:val="16"/>
          <w:szCs w:val="16"/>
          <w:color w:val="auto"/>
        </w:rPr>
      </w:pPr>
    </w:p>
    <w:p>
      <w:pPr>
        <w:ind w:left="660" w:right="300" w:hanging="328"/>
        <w:spacing w:after="0" w:line="260"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Digital Solutions portfolio includes solutions that provide clinical decision support in acute and other care settings, simplifying clinical and operational workflows to drive efficiencies and helping improve delivery of precision care and patient outcomes. These solutions aggregate and integrate clinical data from various devices across care settings in real time and simplify visualization to guide clinical and operational decisions, enabling more efficient care team collaboration, virtually. These solutions are interoperable and vendor-agnostic to integrate with customer environments in a multi-vendor setting and provide a recurring revenue stream.</w:t>
      </w:r>
    </w:p>
    <w:p>
      <w:pPr>
        <w:spacing w:after="0" w:line="21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Our broad portfolio of connected devices and digital solutions is complemented by a comprehensive suite of service offerings. Our service offerings are flexible and can range from preventative maintenance to comprehensive, onsite biomedical service engineering contracts for both GE HealthCare and non-GE HealthCare installed base.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PHARMACEUTICAL DIAGNOSTICS.</w:t>
      </w:r>
    </w:p>
    <w:p>
      <w:pPr>
        <w:spacing w:after="0" w:line="248"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Our PDx segment supplies contrast and radiopharmaceutical imaging agents to the global radiology and nuclear medicine industries. These agents help clinicians assess patients to enable more precise diagnoses, monitor disease progression, and enable better therapy selection. We distribute products globally that help meet patient and procedural needs across a multitude of modalities. PDx’s diagnostic agents are complementary to the imaging and ultrasound devices we offer, including CT, angiography and X-ray, MR, SPECT, and PET, and are also compatible with systems from other equipment vendors.</w:t>
      </w:r>
    </w:p>
    <w:p>
      <w:pPr>
        <w:spacing w:after="0" w:line="19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PDx operates within a strictly regulated industry with unique operational needs. Diagnostic agents require a sophisticated supply chain for manufacturing, supported by a global infrastructure of commercial, marketing, medical affairs, market access, application, regulatory, and pharmacovigilance teams that help monitor products. Customers require timely and reliable supply of diagnostic agents as shortages or delays can be highly disruptive to workflows and even cause exam cancellations.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Our PDx business develops and produces two types of imaging agents: contrast media and radiopharmaceuticals.</w:t>
      </w:r>
    </w:p>
    <w:p>
      <w:pPr>
        <w:spacing w:after="0" w:line="248" w:lineRule="exact"/>
        <w:rPr>
          <w:sz w:val="20"/>
          <w:szCs w:val="20"/>
          <w:color w:val="auto"/>
        </w:rPr>
      </w:pPr>
    </w:p>
    <w:p>
      <w:pPr>
        <w:ind w:left="660" w:right="80" w:hanging="328"/>
        <w:spacing w:after="0" w:line="262"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Contrast media are pharmaceuticals that are administered to a patient during certain diagnostic scans in order to increase the visibility of tissues or structures in imaging exams. Contrast media increases the diagnostic value of imaging and can be critical in the visualization of small or nuanced areas of diagnostic interest, such as cancer lesions or vascular structures, and to plan medical interventions, such as angioplasties, biopsies, or radiation therapy. We offer contrast media to three imaging modality groups: (1) CT, angiography, and X-ray, (2) MR, and (3) ultrasound. Our business also includes contrast injection devices that are automated devices used to monitor and control the injection of contrast into patients, providing valuable productivity benefits in the imaging suite. We offer contrast injectors through collaborations with third-party original equipment manufacturers.</w:t>
      </w:r>
    </w:p>
    <w:p>
      <w:pPr>
        <w:spacing w:after="0" w:line="52" w:lineRule="exact"/>
        <w:rPr>
          <w:rFonts w:ascii="Arial" w:cs="Arial" w:eastAsia="Arial" w:hAnsi="Arial"/>
          <w:sz w:val="16"/>
          <w:szCs w:val="16"/>
          <w:color w:val="auto"/>
        </w:rPr>
      </w:pPr>
    </w:p>
    <w:p>
      <w:pPr>
        <w:ind w:left="660" w:right="120" w:hanging="328"/>
        <w:spacing w:after="0" w:line="26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Radiopharmaceuticals, or molecular imaging agents, are molecular tracers labeled with radioisotopes that are injected into a patient prior to a diagnostic imaging scan. These agents work by accumulating in an area of diagnostic interest, such as a tumor, and emitting energy that is detected by a SPECT or PET scanner. Because they have specific molecular targets, they allow visualization and assessment of cell function, providing a more detailed dimension of biological activity. Our radiopharmaceuticals support diagnosis and therapy selection in various care areas, such as neurology, cardiology, and oncology, and are also used by pharmaceutical companies and researchers in selecting target populations for clinical trials.</w:t>
      </w:r>
    </w:p>
    <w:p>
      <w:pPr>
        <w:spacing w:after="0" w:line="203"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Our unique combination of imaging equipment and pharmaceutical diagnostics enables building capabilities across disease states through diagnostic pharmaceuticals, hardware, software, and AI-enabled and cloud solutions.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4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business strategy includes the acquisition of technologies and businesses that expand, accelerate, or complement our existing business. Refer to Note 8, “Acquisitions, Goodwill, and Other Intangible Assets” for further information.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ACTIVITIES</w:t>
      </w:r>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Our research and development (“R&amp;D”) efforts focus on scientific discovery and research into promising technologies that lead to potential healthcare applications, creating new products, services and solutions, discovery of novel clinical applications for on-market products and solutions, and enhancing our existing products to help improve outcomes for customers and their patients. We employ approximately 11,100 engineers and scientists worldwide, including hardware, systems, and software engineers and personnel focused on clinical research. We deliver value through innovative medical technology solutions across the patient care continuum (including screening, diagnosis, therapy, and monitoring) by leveraging hardware, software, AI, and digital technologies. We engage in and sponsor clinical research and product development through collaborations with academic institutions, medical centers, and other organizations. We occasionally enter into agreements with third parties related to collaboration on R&amp;D activities associated with the development of new or innovative products.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6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a substantial portfolio of intellectual property (“IP”). We rely on a combination of patent, design, utility model, trademark, copyright, trade secret, and regulatory exclusivity period protections, as well as confidentiality agreements to protect our IP. Our IP team collaborates with our R&amp;D and product teams to develop product-line-focused IP strategies and secure IP rights as appropriate. We generally file patent applications in the United States and other countries that have strong technology patent protections. We also license from third parties a variety of IP that complements our internal R&amp;D efforts and our product offerings. While, in aggregate, our patents and other IP are vital to our operations, we do not consider any single IP asset or group of assets to be of material importance to any segment or to the business as a whole.</w:t>
      </w:r>
    </w:p>
    <w:p>
      <w:pPr>
        <w:spacing w:after="0" w:line="203"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We rely on confidentiality agreements with colleagues, contractors, consultants, and third parties to help protect our trade secrets, proprietary technology, and other confidential information. We also monitor development and commercialization activities of third parties so our IP rights are not infringed upon. In addition, we make infrastructure investments to secure our IP assets and conduct audits to assess the effectiveness of our IP protection program.</w:t>
      </w:r>
    </w:p>
    <w:p>
      <w:pPr>
        <w:spacing w:after="0" w:line="20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We believe that invention leads to value for our customers and stakeholders, and that a culture of innovation across GE HealthCare is a core element of our success.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COMPETITORS</w:t>
      </w:r>
    </w:p>
    <w:p>
      <w:pPr>
        <w:spacing w:after="0" w:line="24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global medical technology industry is highly competitive and includes global and regional participants of all sizes that can vary by product line. Because of the diversity of our products and offerings, we face a wide variety of competitors, including a broad range of manufacturers, third-party distributors, and service providers. In the industries we serve, we believe our primary global competitors include Siemens Healthineers, Philips Healthcare, United Imaging, Mindray, and Canon, among others. In our PDx business segment, we primarily compete with Bayer, Bracco, Guerbet, and Curium. We also both compete and partner with various digital health and healthcare AI participants.</w:t>
      </w:r>
    </w:p>
    <w:p>
      <w:pPr>
        <w:spacing w:after="0" w:line="199" w:lineRule="exact"/>
        <w:rPr>
          <w:sz w:val="20"/>
          <w:szCs w:val="20"/>
          <w:color w:val="auto"/>
        </w:rPr>
      </w:pPr>
    </w:p>
    <w:p>
      <w:pPr>
        <w:jc w:val="both"/>
        <w:ind w:right="240"/>
        <w:spacing w:after="0" w:line="275" w:lineRule="auto"/>
        <w:rPr>
          <w:sz w:val="20"/>
          <w:szCs w:val="20"/>
          <w:color w:val="auto"/>
        </w:rPr>
      </w:pPr>
      <w:r>
        <w:rPr>
          <w:rFonts w:ascii="Arial" w:cs="Arial" w:eastAsia="Arial" w:hAnsi="Arial"/>
          <w:sz w:val="16"/>
          <w:szCs w:val="16"/>
          <w:color w:val="auto"/>
        </w:rPr>
        <w:t>While key competitive factors and trends vary among our segments, these typically include value, quality and performance, safety, delivery speed, service and support, technology and innovation, software offering, and brand reputation. For further discussion of risks related to competition, please refer to Item 1A, “Risk Factors.”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26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are a purpose-driven global workforce of approximately 54,000 colleagues with an average tenure that reflects a strong, engaged culture. Our colleagues are committed to serving our customers and enabling them to provide high quality patient care. Our Cultural Operating Principles emphasize safety for patients, customers, and colleagues; servant leadership with unyielding integrity; and fostering a sense of belonging for every one of our colleagues to fulfill our commitment of delivering precision care through innovation. We monitor our human capital priorities throughout the year, including as a part of our monthly business operating reviews. Our senior leadership is a global team of industry veterans with a diverse set of experiences and background together with the skills and expertise required to lead a large global healthcare solutions provider. We foster a culture of belonging for all with high-performing teams that represent the global communities we serve.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Below are our human capital priorities:</w:t>
      </w:r>
    </w:p>
    <w:p>
      <w:pPr>
        <w:spacing w:after="0" w:line="100" w:lineRule="exact"/>
        <w:rPr>
          <w:sz w:val="20"/>
          <w:szCs w:val="20"/>
          <w:color w:val="auto"/>
        </w:rPr>
      </w:pPr>
    </w:p>
    <w:p>
      <w:pPr>
        <w:ind w:left="660" w:right="300" w:hanging="328"/>
        <w:spacing w:after="0" w:line="271"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Protect the health and safety of our workforce</w:t>
      </w:r>
      <w:r>
        <w:rPr>
          <w:rFonts w:ascii="Arial" w:cs="Arial" w:eastAsia="Arial" w:hAnsi="Arial"/>
          <w:sz w:val="16"/>
          <w:szCs w:val="16"/>
          <w:color w:val="auto"/>
        </w:rPr>
        <w:t>: Safety is integrated into everything we do, from manufacturing to installation, operation,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 We are committed to prioritizing safety over delivery and cost. We maintain rigorous health and safety standard protocols across our businesses that are designed to align with regulatory requirements, industry practices, and company values. Our efforts extend to promoting the mental and emotional health and well-being of our workforce.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right="20" w:hanging="328"/>
        <w:spacing w:after="0" w:line="279"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Evolve our culture</w:t>
      </w:r>
      <w:r>
        <w:rPr>
          <w:rFonts w:ascii="Arial" w:cs="Arial" w:eastAsia="Arial" w:hAnsi="Arial"/>
          <w:sz w:val="16"/>
          <w:szCs w:val="16"/>
          <w:color w:val="auto"/>
        </w:rPr>
        <w:t>: We believe that achieving the intentional culture we desire is a key unlock to the highest performing organization we can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Knowing that culture is a never ending journey, we have aligned the organization around Cultural Operating Principles that represent a shared understanding of how we expect colleagues to work with each other and interact with stakeholders to enable our growth strategy, deliver on our purpose, and create value for our colleagues, customers, patients, stockholders, and communities. Our culture amplifies the value of each person’s unique identity, background, and experiences. We are committed to fostering a culture in which every colleague feels empowered to do their best work because they feel accepted, respected, and a sense of belonging. We have objective measures in place to gauge the progress of our culture. Our Cultural Operating Principles are:</w:t>
      </w:r>
    </w:p>
    <w:p>
      <w:pPr>
        <w:spacing w:after="0" w:line="41"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Serve our people, patients, and customers;</w:t>
      </w:r>
    </w:p>
    <w:p>
      <w:pPr>
        <w:spacing w:after="0" w:line="99"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Lead with a lean mindset;</w:t>
      </w:r>
    </w:p>
    <w:p>
      <w:pPr>
        <w:spacing w:after="0" w:line="99"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Empower entrepreneurial spirit;</w:t>
      </w:r>
    </w:p>
    <w:p>
      <w:pPr>
        <w:spacing w:after="0" w:line="99"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Deliver the future of healthcare; and</w:t>
      </w:r>
    </w:p>
    <w:p>
      <w:pPr>
        <w:spacing w:after="0" w:line="99"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Winning with an inclusive team.</w:t>
      </w:r>
    </w:p>
    <w:p>
      <w:pPr>
        <w:spacing w:after="0" w:line="180" w:lineRule="exact"/>
        <w:rPr>
          <w:rFonts w:ascii="Arial" w:cs="Arial" w:eastAsia="Arial" w:hAnsi="Arial"/>
          <w:sz w:val="16"/>
          <w:szCs w:val="16"/>
          <w:color w:val="auto"/>
        </w:rPr>
      </w:pPr>
    </w:p>
    <w:p>
      <w:pPr>
        <w:ind w:left="660" w:right="80" w:hanging="328"/>
        <w:spacing w:after="0" w:line="261"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Attract, develop, and cultivate our talent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 HealthCare’s approach to talent management is designed to facilitate strong individual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performance, foster innovation, enhance colleague engagement, and drive sustainable organizational growth. This starts with attracting qualified candidates to the organization with a strong company value proposition and competitive total rewards. A key pillar of our talent strategy is having senior management-led talent processes that yield succession readiness, strong leaders, and a more engaged, productive, and retained workforce. Ensuring professional development and continuous learning of our colleagues remains a fundamental priority for the organization as a whole.</w:t>
      </w:r>
    </w:p>
    <w:p>
      <w:pPr>
        <w:spacing w:after="0" w:line="54" w:lineRule="exact"/>
        <w:rPr>
          <w:rFonts w:ascii="Arial" w:cs="Arial" w:eastAsia="Arial" w:hAnsi="Arial"/>
          <w:sz w:val="16"/>
          <w:szCs w:val="16"/>
          <w:color w:val="auto"/>
        </w:rPr>
      </w:pPr>
    </w:p>
    <w:p>
      <w:pPr>
        <w:ind w:left="660" w:right="460" w:hanging="328"/>
        <w:spacing w:after="0" w:line="27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Retain, motivate, and reward our talent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 HealthCare’s approach to total rewards is underpinned by a philosophy designed to provide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programs that attract, retain, and motivate our people to fulfill our purpose to create a world where healthcare has no limits. Our philosophy is further supported by four principles that guide the total rewards we provide, which are:</w:t>
      </w:r>
    </w:p>
    <w:p>
      <w:pPr>
        <w:spacing w:after="0" w:line="42"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Business-focused and differentiated by performance;</w:t>
      </w:r>
    </w:p>
    <w:p>
      <w:pPr>
        <w:spacing w:after="0" w:line="99"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Ownership-oriented;</w:t>
      </w:r>
    </w:p>
    <w:p>
      <w:pPr>
        <w:spacing w:after="0" w:line="99"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Competitive, motivating, and fair; and</w:t>
      </w:r>
    </w:p>
    <w:p>
      <w:pPr>
        <w:spacing w:after="0" w:line="99" w:lineRule="exact"/>
        <w:rPr>
          <w:rFonts w:ascii="Arial" w:cs="Arial" w:eastAsia="Arial" w:hAnsi="Arial"/>
          <w:sz w:val="16"/>
          <w:szCs w:val="16"/>
          <w:color w:val="auto"/>
        </w:rPr>
      </w:pPr>
    </w:p>
    <w:p>
      <w:pPr>
        <w:ind w:left="1300" w:hanging="320"/>
        <w:spacing w:after="0"/>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Simple and transparent.</w:t>
      </w:r>
    </w:p>
    <w:p>
      <w:pPr>
        <w:spacing w:after="0" w:line="100"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Of our approximately 54,000 colleagues, 32% are located in the United States. GE HealthCare’s relationship with employee-representative organizations outside the United States takes many forms, including in Europe where GE HealthCare engages the representative bodies for colleagues, such as works councils and trade unions, in accordance with local law. We strive to unlock the ambition of all our people so they can innovate, grow, and reach their full potential. Our well-established colleague development strategy allows us to attract and retain innovative leaders, which is instrumental to our long-term success.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SUSTAINABILITY</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GE HealthCare is committed to delivering products and solutions that build a healthier and more sustainable world for current and future generations. We have a sustainability program and governance structure that is aligned with our business strategy, the priorities of our stakeholders, our goals and ambitions, and our need to adapt to changes in societal, environmental, and regulatory expectations.</w:t>
      </w:r>
    </w:p>
    <w:p>
      <w:pPr>
        <w:spacing w:after="0" w:line="19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Board of Directors (the “Board”) oversees management’s establishment and execution of corporate strategy, along with our sustainability program and activities. Our Enterprise Stewardship Program Committee, a committee of our management team, works in partnership with our segments, regions, and functions to support GE HealthCare’s ongoing goals in connection with environmental stewardship, social responsibility, human capital, and sustainability. The committee identifies and addresses risks and opportunities that could affect our business, implements GE HealthCare’s sustainability strategy, and maintains transparent communication with stakeholders.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GE HealthCare’s sustainability strategy, guided by our Cultural Operating Principles, focuses on the following five pillars:</w:t>
      </w:r>
    </w:p>
    <w:p>
      <w:pPr>
        <w:spacing w:after="0" w:line="100"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Enable access to quality healthcare for more patients;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Cultivate a workplace where all colleagues can thrive;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Build a more sustainable, healthier future;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Advance sustainable practices throughout the product lifecycle; and</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Deliver safe and secure products and services</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More information on our sustainability program can be found in our annual Sustainability Report available on our website (which is not incorporated by reference herein).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AND DISTRIBUTION MODEL</w:t>
      </w:r>
    </w:p>
    <w:p>
      <w:pPr>
        <w:spacing w:after="0" w:line="248"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GE HealthCare deploys a global multi-channel commercial model consisting of approximately 9,700 sales professionals and a network of over 5,000 indirect third-party partners. Our reach into top hospitals and health systems is evidenced by our long-standing collaborations with leading institutions around the world. Our commercial model is organized according to the needs of our customers and includes global and regional marketing, regional inside sales teams, field-based sales teams, sales agents, and distributors. Our equipment sales representatives partner closely with their service sales counterparts to position both equipment contracts and long-term maintenance agreements along with system upgrades and software as a service (“SaaS”) agreements. We complement our direct and indirect sales channels with end-to-end virtual sales teams. Our direct and indirect channel mix helps us expand our market coverage, increase customer satisfaction, and win more business in broad geographies and emerging markets. In developed markets, we supplement our commercial model with strategic account executive and collaboration teams that bring the depth and breadth of our overall portfolio to the senior leadership of our top customers to deliver long-term commercial collaborations, which can be tied to specific outcomes.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INTEGRATED SUPPLY CHAIN, SOURCING, AND LOGISTICS</w:t>
      </w:r>
    </w:p>
    <w:p>
      <w:pPr>
        <w:spacing w:after="0" w:line="24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sourcing, production, and distribution network is managed globally while our products are manufactured at and distributed by facilities serving specific regions. We believe our global scale, complemented by local focus, allows us to provide our customers with improved supply chain security, reduced costs, and compliance with regional or national trade and marketing requirements. We have manufacturing, assembly, and pharmaceutical production in 44 facilities across 17 countries. We use globally managed and coordinated quality assurance programs across our manufacturing and distribution facilities, and we regularly inspect and audit our sites. We hold our suppliers to the same rigorous operating standards. Our supply chain design drives resilience and redundancy, including maintaining buffer capacity, diversifying our sourcing and manufacturing bases, and utilizing advanced risk-focused analytics.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 OF MEDICAL DEVICES AND PHARMACEUTICAL PRODUCTS.</w:t>
      </w:r>
    </w:p>
    <w:p>
      <w:pPr>
        <w:spacing w:after="0" w:line="248" w:lineRule="exact"/>
        <w:rPr>
          <w:sz w:val="20"/>
          <w:szCs w:val="20"/>
          <w:color w:val="auto"/>
        </w:rPr>
      </w:pPr>
    </w:p>
    <w:p>
      <w:pPr>
        <w:ind w:right="480"/>
        <w:spacing w:after="0" w:line="304" w:lineRule="auto"/>
        <w:rPr>
          <w:sz w:val="20"/>
          <w:szCs w:val="20"/>
          <w:color w:val="auto"/>
        </w:rPr>
      </w:pPr>
      <w:r>
        <w:rPr>
          <w:rFonts w:ascii="Arial" w:cs="Arial" w:eastAsia="Arial" w:hAnsi="Arial"/>
          <w:sz w:val="16"/>
          <w:szCs w:val="16"/>
          <w:color w:val="auto"/>
        </w:rPr>
        <w:t>The development, manufacturing, marketing, sale, promotion, and distribution of medical devices and pharmaceutical products are subject to stringent government regulation globally. We commit extensive resources to maintain compliance with these regulations.</w:t>
      </w:r>
    </w:p>
    <w:p>
      <w:pPr>
        <w:spacing w:after="0" w:line="168"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The U.S., European Union (“EU”), and China are our most significant regions based on revenue and the regulatory landscape within these regions. The Food and Drug Administration (“FDA”) in the United States, the European Medicines Agency (“EMA”) (for pharmaceuticals) and European National Competent Authorities and Notified Bodies (for devices) in Europe, the National Medical Products Administration (“NMPA”) in China and other government agencies, such as state and local authorities, in the United States, Europe, and China, administer strict requirements governing the design, development, testing, performance, safety, quality, manufacturing, packaging, labeling, distribution, import/export, sale, servicing, marketing, and post-market surveillance of medical products, including medical devices and pharmaceutical products. In addition, we are subject to applicable national and sub-national laws and regulations of other countries.</w:t>
      </w:r>
    </w:p>
    <w:p>
      <w:pPr>
        <w:spacing w:after="0" w:line="20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Our ability to market and sell our products globally depends upon our compliance with the laws and regulations in each jurisdiction in which we develop, manufacture, or distribute our products. This requires, among other things, compliance with laws and regulations related to developing, testing, conducting clinical trials if needed, and receiving appropriate marketing authorization from the appropriate regulatory authorities prior to commercialization of our products where necessary. We are also subject to extensive laws and regulations requiring ongoing compliance and monitoring of our products throughout the product lifecycle. For example, we have extensive processes and procedures for monitoring the post-market safety and performance of our products, reporting applicable events to regulators, and taking action to address potential safety or quality concerns where needed. In addition, regulators across the globe have the authority to conduct periodic inspections of our facilities, products, and Quality Management System processes and procedures to evaluate our compliance with applicable laws and regulations. Regulators also monitor our advertising and promotion of products for compliance with applicable laws and regulations.</w:t>
      </w:r>
    </w:p>
    <w:p>
      <w:pPr>
        <w:spacing w:after="0" w:line="20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Complying with requirements imposed on our products and business is an ongoing process as we introduce additional products and/or product modifications and seek to comply with changing legal and regulatory requirements. The time required to obtain authorization to market and sell products varies by country. The ability to comply with global post-market requirements requires extensive and ongoing resources. An enforcement or adverse action by a regulator could limit our ability to obtain regulatory authorizations or impact our ability to develop, market, distribute, or otherwise make our products available, depending on the nature of the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PRIVACY LAWS.</w:t>
      </w:r>
    </w:p>
    <w:p>
      <w:pPr>
        <w:spacing w:after="0" w:line="248"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Due to our extensive global footprint and handling of personal data as both a data controller (on our own behalf) and data processor (on behalf of third parties, primarily customers), we are also subject to an extensive collection of global laws and regulations protecting the privacy, security, and integrity of the personal data, sensitive personal data, and patient health information that we create, receive, use, and maintain as a business. Our cloud, AI, edge computing, and software solutions must comply with stringent regulations, including certification requirements, in many of the countries in which our customers are located, particularly in relation to obtaining, using, storing, and transferring personal data, and such compliance is required before we can launch our offerings in the applicable countries. Additionally, our use of AI to support business operations carries inherent risks related to data privacy, IP, and security, such as intended, unintended, or inadvertent transmission of proprietary, confidential, or sensitive information.</w:t>
      </w:r>
    </w:p>
    <w:p>
      <w:pPr>
        <w:spacing w:after="0" w:line="20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Among the most relevant and material of these regulations to our business, based on the volume and sensitivity of the data at issue, are: the U.S. Health Insurance Portability and Accountability Act of 1996, as amended by the Health Information and Technology for Economic and Clinical Health Act (collectively “HIPAA”); the EU General Data Protection Regulation (Regulation (EU) 2016/679) (“GDPR”), similar United Kingdom (“U.K.”) legislation resulting from the European Union (Withdrawal) Data Act of 2018 (“U.K. GDPR”), and other EU country-level laws; the Lei Geral de Proteção de Dados Pessoias (“Brazil LGPD”); the various laws and accompanying regulations in China governing data privacy and cybersecurity (e.g., the Cybersecurity Law of the People’s Republic of China, Personal Information Protection Law (“China PIPL”) and Data Security Law (“China DSL”)), the Digital Personal Data Protection Act of India, and significant privacy legislation recently adopted in the Middle East and Africa Personal Data Protection Law (“PDPL”) Royal Decree No. M/19 on September 16, 2021. In addition, there are also various U.S. state-level laws (e.g., the California Consumer Privacy Act), country regional laws, and proposed legislation that we monitor for applicability and impact to our business. These laws present a continuing challenge to businesses to structure their data collection, storage, use, and cross-border transmission in a compliant manner.</w:t>
      </w:r>
    </w:p>
    <w:p>
      <w:pPr>
        <w:spacing w:after="0" w:line="209"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Many of these laws impose a significant compliance burden on organizations within their scope, and failure to comply can result in a variety of sanctions, including, with respect to GDPR, administrative fines for the most serious compliance failures up to 4% of a company’s global total annual revenue of the preceding fiscal year. While there have been some recent enforcement actions by EU country-level data protection authorities resulting in substantial fines pursuant to GDPR, there remains uncertainty as to how data protection authorities throughout the rest of the globe will choose to interpret and enforce violations of applicable privacy laws and regulations (e.g., Brazil LGPD, China PIPL). Furthermore, these laws and regulations are continuously evolving, and further clarification in the form of implementing rules, guidelines, and related guidance from the data protection authorities is necessary to understand the full picture of the compliance obligations imposed on businesses within their scope. Additionally, in recent years, the EU has introduced upcoming legislation that would regulate the use and transfer of non-personal, technical data only.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&amp; BUSINESS PRACTICES.</w:t>
      </w:r>
    </w:p>
    <w:p>
      <w:pPr>
        <w:spacing w:after="0" w:line="262" w:lineRule="exact"/>
        <w:rPr>
          <w:sz w:val="20"/>
          <w:szCs w:val="20"/>
          <w:color w:val="auto"/>
        </w:rPr>
      </w:pPr>
    </w:p>
    <w:p>
      <w:pPr>
        <w:ind w:right="500"/>
        <w:spacing w:after="0" w:line="265" w:lineRule="auto"/>
        <w:rPr>
          <w:sz w:val="20"/>
          <w:szCs w:val="20"/>
          <w:color w:val="auto"/>
        </w:rPr>
      </w:pPr>
      <w:r>
        <w:rPr>
          <w:rFonts w:ascii="Arial" w:cs="Arial" w:eastAsia="Arial" w:hAnsi="Arial"/>
          <w:sz w:val="16"/>
          <w:szCs w:val="16"/>
          <w:color w:val="auto"/>
        </w:rPr>
        <w:t>The marketing, promotion, and sale of medical devices, drugs, and services are regulated by the U.S. Department of Health and Human Services and comparable U.S. state and non-U.S. governments and agencies responsible for reimbursement and regulation of the delivery of healthcare items and services, representing government’s interest in regulating the quality and cost of healthcare. Industry trade associations (such as Advanced Medical Technology Association (“AdvaMed”) and MedTech) increasingly provide guidance on applicable laws and regulations.</w:t>
      </w:r>
    </w:p>
    <w:p>
      <w:pPr>
        <w:spacing w:after="0" w:line="20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U.S. Foreign Corrupt Practices Act, the U.K. Bribery Act of 2010, and similar anti-corruption and anti-bribery laws in other jurisdictions generally prohibit companies from making improper payments to or otherwise engaging in bribery of government officials. These laws apply to many of our customer interactions, as healthcare professionals in other countries are often considered government officials, and in some cases lay out requirements of how to operationalize compliance with the legal requirements. Countries outside the United States have enacted similar local laws requiring medical device companies to report transfers of value to healthcare providers licensed in those countries. Failure to comply with these laws may expose us to criminal and civil enforcement actions, monetary fines and penalties, and reputational harm.</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U.S. REGULATORY REQUIREMENTS.</w:t>
      </w:r>
    </w:p>
    <w:p>
      <w:pPr>
        <w:spacing w:after="0" w:line="24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U.S. federal healthcare laws apply when we or our customers submit claims for items or services that are reimbursed under Medicare, Medicaid, or other federally funded healthcare programs, including laws related to kickbacks, false claims, self-referrals, and healthcare fraud and abuse. Similar state false claims, anti-kickback, anti-self-referral, and insurance laws also apply to state-funded Medicaid and other healthcare programs and private third-party payers. Any failure to comply with these laws and regulations could subject us or our officers and colleagues to criminal and civil financial penalties and expose us to civil liability and risk of further enforcement action under the U.S. Anti-Kickback Statute (“AKS”), the False Claims Act (“FCA”), or other healthcare fraud and abuse laws. In addition, as a manufacturer of U.S. FDA-cleared and -approved devices and drugs reimbursable by federal healthcare programs, we are subject to the U.S. federal Physician Payments Sunshine Act (the “Sunshine Act”), which requires us to annually track and report to the federal government certain payments and other transfers of value we make to U.S.-licensed physicians and other healthcare professionals or U.S. teaching hospitals. Similar laws exist in some U.S. states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names, ages, and positions of our executive officers as of the date of this Annual Report.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00" w:type="dxa"/>
            <w:vAlign w:val="bottom"/>
            <w:tcBorders>
              <w:bottom w:val="single" w:sz="8" w:color="6400A0"/>
            </w:tcBorders>
          </w:tcPr>
          <w:p>
            <w:pPr>
              <w:ind w:left="1780"/>
              <w:spacing w:after="0"/>
              <w:rPr>
                <w:sz w:val="20"/>
                <w:szCs w:val="20"/>
                <w:color w:val="auto"/>
              </w:rPr>
            </w:pPr>
            <w:r>
              <w:rPr>
                <w:rFonts w:ascii="Arial" w:cs="Arial" w:eastAsia="Arial" w:hAnsi="Arial"/>
                <w:sz w:val="16"/>
                <w:szCs w:val="16"/>
                <w:b w:val="1"/>
                <w:bCs w:val="1"/>
                <w:color w:val="454545"/>
              </w:rPr>
              <w:t>Name</w:t>
            </w:r>
          </w:p>
        </w:tc>
        <w:tc>
          <w:tcPr>
            <w:tcW w:w="2300" w:type="dxa"/>
            <w:vAlign w:val="bottom"/>
            <w:tcBorders>
              <w:bottom w:val="single" w:sz="8" w:color="6400A0"/>
            </w:tcBorders>
          </w:tcPr>
          <w:p>
            <w:pPr>
              <w:jc w:val="center"/>
              <w:ind w:left="699"/>
              <w:spacing w:after="0"/>
              <w:rPr>
                <w:sz w:val="20"/>
                <w:szCs w:val="20"/>
                <w:color w:val="auto"/>
              </w:rPr>
            </w:pPr>
            <w:r>
              <w:rPr>
                <w:rFonts w:ascii="Arial" w:cs="Arial" w:eastAsia="Arial" w:hAnsi="Arial"/>
                <w:sz w:val="16"/>
                <w:szCs w:val="16"/>
                <w:b w:val="1"/>
                <w:bCs w:val="1"/>
                <w:color w:val="454545"/>
              </w:rPr>
              <w:t>Age</w:t>
            </w:r>
          </w:p>
        </w:tc>
        <w:tc>
          <w:tcPr>
            <w:tcW w:w="5300" w:type="dxa"/>
            <w:vAlign w:val="bottom"/>
            <w:tcBorders>
              <w:bottom w:val="single" w:sz="8" w:color="6400A0"/>
            </w:tcBorders>
          </w:tcPr>
          <w:p>
            <w:pPr>
              <w:ind w:left="2520"/>
              <w:spacing w:after="0"/>
              <w:rPr>
                <w:sz w:val="20"/>
                <w:szCs w:val="20"/>
                <w:color w:val="auto"/>
              </w:rPr>
            </w:pPr>
            <w:r>
              <w:rPr>
                <w:rFonts w:ascii="Arial" w:cs="Arial" w:eastAsia="Arial" w:hAnsi="Arial"/>
                <w:sz w:val="16"/>
                <w:szCs w:val="16"/>
                <w:b w:val="1"/>
                <w:bCs w:val="1"/>
                <w:color w:val="454545"/>
              </w:rPr>
              <w:t>Position</w:t>
            </w:r>
          </w:p>
        </w:tc>
      </w:tr>
      <w:tr>
        <w:trPr>
          <w:trHeight w:val="227"/>
        </w:trPr>
        <w:tc>
          <w:tcPr>
            <w:tcW w:w="3600" w:type="dxa"/>
            <w:vAlign w:val="bottom"/>
            <w:shd w:val="clear" w:color="auto" w:fill="E4E4E4"/>
          </w:tcPr>
          <w:p>
            <w:pPr>
              <w:ind w:left="20"/>
              <w:spacing w:after="0"/>
              <w:rPr>
                <w:sz w:val="20"/>
                <w:szCs w:val="20"/>
                <w:color w:val="auto"/>
              </w:rPr>
            </w:pPr>
            <w:r>
              <w:rPr>
                <w:rFonts w:ascii="Arial" w:cs="Arial" w:eastAsia="Arial" w:hAnsi="Arial"/>
                <w:sz w:val="16"/>
                <w:szCs w:val="16"/>
                <w:color w:val="auto"/>
              </w:rPr>
              <w:t>Peter J. Arduini</w:t>
            </w:r>
          </w:p>
        </w:tc>
        <w:tc>
          <w:tcPr>
            <w:tcW w:w="2300" w:type="dxa"/>
            <w:vAlign w:val="bottom"/>
            <w:shd w:val="clear" w:color="auto" w:fill="E4E4E4"/>
          </w:tcPr>
          <w:p>
            <w:pPr>
              <w:jc w:val="center"/>
              <w:ind w:left="679"/>
              <w:spacing w:after="0"/>
              <w:rPr>
                <w:sz w:val="20"/>
                <w:szCs w:val="20"/>
                <w:color w:val="auto"/>
              </w:rPr>
            </w:pPr>
            <w:r>
              <w:rPr>
                <w:rFonts w:ascii="Arial" w:cs="Arial" w:eastAsia="Arial" w:hAnsi="Arial"/>
                <w:sz w:val="16"/>
                <w:szCs w:val="16"/>
                <w:color w:val="auto"/>
              </w:rPr>
              <w:t>61</w:t>
            </w:r>
          </w:p>
        </w:tc>
        <w:tc>
          <w:tcPr>
            <w:tcW w:w="5300" w:type="dxa"/>
            <w:vAlign w:val="bottom"/>
            <w:shd w:val="clear" w:color="auto" w:fill="E4E4E4"/>
          </w:tcPr>
          <w:p>
            <w:pPr>
              <w:ind w:left="600"/>
              <w:spacing w:after="0"/>
              <w:rPr>
                <w:sz w:val="20"/>
                <w:szCs w:val="20"/>
                <w:color w:val="auto"/>
              </w:rPr>
            </w:pPr>
            <w:r>
              <w:rPr>
                <w:rFonts w:ascii="Arial" w:cs="Arial" w:eastAsia="Arial" w:hAnsi="Arial"/>
                <w:sz w:val="16"/>
                <w:szCs w:val="16"/>
                <w:color w:val="auto"/>
              </w:rPr>
              <w:t>President, Chief Executive Officer, and Director</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James K. Saccaro</w:t>
            </w:r>
          </w:p>
        </w:tc>
        <w:tc>
          <w:tcPr>
            <w:tcW w:w="2300" w:type="dxa"/>
            <w:vAlign w:val="bottom"/>
          </w:tcPr>
          <w:p>
            <w:pPr>
              <w:jc w:val="center"/>
              <w:ind w:left="679"/>
              <w:spacing w:after="0"/>
              <w:rPr>
                <w:sz w:val="20"/>
                <w:szCs w:val="20"/>
                <w:color w:val="auto"/>
              </w:rPr>
            </w:pPr>
            <w:r>
              <w:rPr>
                <w:rFonts w:ascii="Arial" w:cs="Arial" w:eastAsia="Arial" w:hAnsi="Arial"/>
                <w:sz w:val="16"/>
                <w:szCs w:val="16"/>
                <w:color w:val="auto"/>
              </w:rPr>
              <w:t>53</w:t>
            </w:r>
          </w:p>
        </w:tc>
        <w:tc>
          <w:tcPr>
            <w:tcW w:w="5300" w:type="dxa"/>
            <w:vAlign w:val="bottom"/>
          </w:tcPr>
          <w:p>
            <w:pPr>
              <w:ind w:left="600"/>
              <w:spacing w:after="0"/>
              <w:rPr>
                <w:sz w:val="20"/>
                <w:szCs w:val="20"/>
                <w:color w:val="auto"/>
              </w:rPr>
            </w:pPr>
            <w:r>
              <w:rPr>
                <w:rFonts w:ascii="Arial" w:cs="Arial" w:eastAsia="Arial" w:hAnsi="Arial"/>
                <w:sz w:val="16"/>
                <w:szCs w:val="16"/>
                <w:color w:val="auto"/>
              </w:rPr>
              <w:t>Vice President and Chief Financial Officer</w:t>
            </w:r>
          </w:p>
        </w:tc>
      </w:tr>
      <w:tr>
        <w:trPr>
          <w:trHeight w:val="28"/>
        </w:trPr>
        <w:tc>
          <w:tcPr>
            <w:tcW w:w="3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23"/>
        </w:trPr>
        <w:tc>
          <w:tcPr>
            <w:tcW w:w="36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Jeannette Bankes</w:t>
            </w:r>
          </w:p>
        </w:tc>
        <w:tc>
          <w:tcPr>
            <w:tcW w:w="2300" w:type="dxa"/>
            <w:vAlign w:val="bottom"/>
            <w:tcBorders>
              <w:bottom w:val="single" w:sz="8" w:color="E4E4E4"/>
            </w:tcBorders>
            <w:shd w:val="clear" w:color="auto" w:fill="E4E4E4"/>
          </w:tcPr>
          <w:p>
            <w:pPr>
              <w:jc w:val="center"/>
              <w:ind w:left="679"/>
              <w:spacing w:after="0"/>
              <w:rPr>
                <w:sz w:val="20"/>
                <w:szCs w:val="20"/>
                <w:color w:val="auto"/>
              </w:rPr>
            </w:pPr>
            <w:r>
              <w:rPr>
                <w:rFonts w:ascii="Arial" w:cs="Arial" w:eastAsia="Arial" w:hAnsi="Arial"/>
                <w:sz w:val="16"/>
                <w:szCs w:val="16"/>
                <w:color w:val="auto"/>
              </w:rPr>
              <w:t>55</w:t>
            </w:r>
          </w:p>
        </w:tc>
        <w:tc>
          <w:tcPr>
            <w:tcW w:w="5300" w:type="dxa"/>
            <w:vAlign w:val="bottom"/>
            <w:tcBorders>
              <w:bottom w:val="single" w:sz="8" w:color="E4E4E4"/>
            </w:tcBorders>
            <w:shd w:val="clear" w:color="auto" w:fill="E4E4E4"/>
          </w:tcPr>
          <w:p>
            <w:pPr>
              <w:ind w:left="600"/>
              <w:spacing w:after="0"/>
              <w:rPr>
                <w:sz w:val="20"/>
                <w:szCs w:val="20"/>
                <w:color w:val="auto"/>
              </w:rPr>
            </w:pPr>
            <w:r>
              <w:rPr>
                <w:rFonts w:ascii="Arial" w:cs="Arial" w:eastAsia="Arial" w:hAnsi="Arial"/>
                <w:sz w:val="16"/>
                <w:szCs w:val="16"/>
                <w:color w:val="auto"/>
              </w:rPr>
              <w:t>President and CEO, Patient Care Solutions</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Adam Y. Holton</w:t>
            </w:r>
          </w:p>
        </w:tc>
        <w:tc>
          <w:tcPr>
            <w:tcW w:w="2300" w:type="dxa"/>
            <w:vAlign w:val="bottom"/>
          </w:tcPr>
          <w:p>
            <w:pPr>
              <w:jc w:val="center"/>
              <w:ind w:left="679"/>
              <w:spacing w:after="0"/>
              <w:rPr>
                <w:sz w:val="20"/>
                <w:szCs w:val="20"/>
                <w:color w:val="auto"/>
              </w:rPr>
            </w:pPr>
            <w:r>
              <w:rPr>
                <w:rFonts w:ascii="Arial" w:cs="Arial" w:eastAsia="Arial" w:hAnsi="Arial"/>
                <w:sz w:val="16"/>
                <w:szCs w:val="16"/>
                <w:color w:val="auto"/>
              </w:rPr>
              <w:t>55</w:t>
            </w:r>
          </w:p>
        </w:tc>
        <w:tc>
          <w:tcPr>
            <w:tcW w:w="5300" w:type="dxa"/>
            <w:vAlign w:val="bottom"/>
          </w:tcPr>
          <w:p>
            <w:pPr>
              <w:ind w:left="600"/>
              <w:spacing w:after="0"/>
              <w:rPr>
                <w:sz w:val="20"/>
                <w:szCs w:val="20"/>
                <w:color w:val="auto"/>
              </w:rPr>
            </w:pPr>
            <w:r>
              <w:rPr>
                <w:rFonts w:ascii="Arial" w:cs="Arial" w:eastAsia="Arial" w:hAnsi="Arial"/>
                <w:sz w:val="16"/>
                <w:szCs w:val="16"/>
                <w:color w:val="auto"/>
              </w:rPr>
              <w:t>Chief People Officer</w:t>
            </w:r>
          </w:p>
        </w:tc>
      </w:tr>
      <w:tr>
        <w:trPr>
          <w:trHeight w:val="28"/>
        </w:trPr>
        <w:tc>
          <w:tcPr>
            <w:tcW w:w="3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29"/>
        </w:trPr>
        <w:tc>
          <w:tcPr>
            <w:tcW w:w="3600" w:type="dxa"/>
            <w:vAlign w:val="bottom"/>
            <w:shd w:val="clear" w:color="auto" w:fill="E4E4E4"/>
          </w:tcPr>
          <w:p>
            <w:pPr>
              <w:ind w:left="20"/>
              <w:spacing w:after="0"/>
              <w:rPr>
                <w:sz w:val="20"/>
                <w:szCs w:val="20"/>
                <w:color w:val="auto"/>
              </w:rPr>
            </w:pPr>
            <w:r>
              <w:rPr>
                <w:rFonts w:ascii="Arial" w:cs="Arial" w:eastAsia="Arial" w:hAnsi="Arial"/>
                <w:sz w:val="16"/>
                <w:szCs w:val="16"/>
                <w:color w:val="auto"/>
              </w:rPr>
              <w:t>Frank R. Jimenez</w:t>
            </w:r>
          </w:p>
        </w:tc>
        <w:tc>
          <w:tcPr>
            <w:tcW w:w="2300" w:type="dxa"/>
            <w:vAlign w:val="bottom"/>
            <w:shd w:val="clear" w:color="auto" w:fill="E4E4E4"/>
          </w:tcPr>
          <w:p>
            <w:pPr>
              <w:jc w:val="center"/>
              <w:ind w:left="679"/>
              <w:spacing w:after="0"/>
              <w:rPr>
                <w:sz w:val="20"/>
                <w:szCs w:val="20"/>
                <w:color w:val="auto"/>
              </w:rPr>
            </w:pPr>
            <w:r>
              <w:rPr>
                <w:rFonts w:ascii="Arial" w:cs="Arial" w:eastAsia="Arial" w:hAnsi="Arial"/>
                <w:sz w:val="16"/>
                <w:szCs w:val="16"/>
                <w:color w:val="auto"/>
              </w:rPr>
              <w:t>61</w:t>
            </w:r>
          </w:p>
        </w:tc>
        <w:tc>
          <w:tcPr>
            <w:tcW w:w="5300" w:type="dxa"/>
            <w:vAlign w:val="bottom"/>
            <w:shd w:val="clear" w:color="auto" w:fill="E4E4E4"/>
          </w:tcPr>
          <w:p>
            <w:pPr>
              <w:ind w:left="600"/>
              <w:spacing w:after="0"/>
              <w:rPr>
                <w:sz w:val="20"/>
                <w:szCs w:val="20"/>
                <w:color w:val="auto"/>
              </w:rPr>
            </w:pPr>
            <w:r>
              <w:rPr>
                <w:rFonts w:ascii="Arial" w:cs="Arial" w:eastAsia="Arial" w:hAnsi="Arial"/>
                <w:sz w:val="16"/>
                <w:szCs w:val="16"/>
                <w:color w:val="auto"/>
              </w:rPr>
              <w:t>General Counsel and Corporate Secretary</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Taha Kass-Hout</w:t>
            </w:r>
          </w:p>
        </w:tc>
        <w:tc>
          <w:tcPr>
            <w:tcW w:w="2300" w:type="dxa"/>
            <w:vAlign w:val="bottom"/>
          </w:tcPr>
          <w:p>
            <w:pPr>
              <w:jc w:val="center"/>
              <w:ind w:left="679"/>
              <w:spacing w:after="0"/>
              <w:rPr>
                <w:sz w:val="20"/>
                <w:szCs w:val="20"/>
                <w:color w:val="auto"/>
              </w:rPr>
            </w:pPr>
            <w:r>
              <w:rPr>
                <w:rFonts w:ascii="Arial" w:cs="Arial" w:eastAsia="Arial" w:hAnsi="Arial"/>
                <w:sz w:val="16"/>
                <w:szCs w:val="16"/>
                <w:color w:val="auto"/>
              </w:rPr>
              <w:t>54</w:t>
            </w:r>
          </w:p>
        </w:tc>
        <w:tc>
          <w:tcPr>
            <w:tcW w:w="5300" w:type="dxa"/>
            <w:vAlign w:val="bottom"/>
          </w:tcPr>
          <w:p>
            <w:pPr>
              <w:ind w:left="600"/>
              <w:spacing w:after="0"/>
              <w:rPr>
                <w:sz w:val="20"/>
                <w:szCs w:val="20"/>
                <w:color w:val="auto"/>
              </w:rPr>
            </w:pPr>
            <w:r>
              <w:rPr>
                <w:rFonts w:ascii="Arial" w:cs="Arial" w:eastAsia="Arial" w:hAnsi="Arial"/>
                <w:sz w:val="16"/>
                <w:szCs w:val="16"/>
                <w:color w:val="auto"/>
              </w:rPr>
              <w:t>Chief Science and Technology Officer</w:t>
            </w:r>
          </w:p>
        </w:tc>
      </w:tr>
      <w:tr>
        <w:trPr>
          <w:trHeight w:val="28"/>
        </w:trPr>
        <w:tc>
          <w:tcPr>
            <w:tcW w:w="3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23"/>
        </w:trPr>
        <w:tc>
          <w:tcPr>
            <w:tcW w:w="36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Kevin M. O’Neill</w:t>
            </w:r>
          </w:p>
        </w:tc>
        <w:tc>
          <w:tcPr>
            <w:tcW w:w="2300" w:type="dxa"/>
            <w:vAlign w:val="bottom"/>
            <w:tcBorders>
              <w:bottom w:val="single" w:sz="8" w:color="E4E4E4"/>
            </w:tcBorders>
            <w:shd w:val="clear" w:color="auto" w:fill="E4E4E4"/>
          </w:tcPr>
          <w:p>
            <w:pPr>
              <w:jc w:val="center"/>
              <w:ind w:left="679"/>
              <w:spacing w:after="0"/>
              <w:rPr>
                <w:sz w:val="20"/>
                <w:szCs w:val="20"/>
                <w:color w:val="auto"/>
              </w:rPr>
            </w:pPr>
            <w:r>
              <w:rPr>
                <w:rFonts w:ascii="Arial" w:cs="Arial" w:eastAsia="Arial" w:hAnsi="Arial"/>
                <w:sz w:val="16"/>
                <w:szCs w:val="16"/>
                <w:color w:val="auto"/>
              </w:rPr>
              <w:t>57</w:t>
            </w:r>
          </w:p>
        </w:tc>
        <w:tc>
          <w:tcPr>
            <w:tcW w:w="5300" w:type="dxa"/>
            <w:vAlign w:val="bottom"/>
            <w:tcBorders>
              <w:bottom w:val="single" w:sz="8" w:color="E4E4E4"/>
            </w:tcBorders>
            <w:shd w:val="clear" w:color="auto" w:fill="E4E4E4"/>
          </w:tcPr>
          <w:p>
            <w:pPr>
              <w:ind w:left="600"/>
              <w:spacing w:after="0"/>
              <w:rPr>
                <w:sz w:val="20"/>
                <w:szCs w:val="20"/>
                <w:color w:val="auto"/>
              </w:rPr>
            </w:pPr>
            <w:r>
              <w:rPr>
                <w:rFonts w:ascii="Arial" w:cs="Arial" w:eastAsia="Arial" w:hAnsi="Arial"/>
                <w:sz w:val="16"/>
                <w:szCs w:val="16"/>
                <w:color w:val="auto"/>
              </w:rPr>
              <w:t>President and CEO, Pharmaceutical Diagnostics</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Philip Rackliffe</w:t>
            </w:r>
          </w:p>
        </w:tc>
        <w:tc>
          <w:tcPr>
            <w:tcW w:w="2300" w:type="dxa"/>
            <w:vAlign w:val="bottom"/>
          </w:tcPr>
          <w:p>
            <w:pPr>
              <w:jc w:val="center"/>
              <w:ind w:left="679"/>
              <w:spacing w:after="0"/>
              <w:rPr>
                <w:sz w:val="20"/>
                <w:szCs w:val="20"/>
                <w:color w:val="auto"/>
              </w:rPr>
            </w:pPr>
            <w:r>
              <w:rPr>
                <w:rFonts w:ascii="Arial" w:cs="Arial" w:eastAsia="Arial" w:hAnsi="Arial"/>
                <w:sz w:val="16"/>
                <w:szCs w:val="16"/>
                <w:color w:val="auto"/>
              </w:rPr>
              <w:t>52</w:t>
            </w:r>
          </w:p>
        </w:tc>
        <w:tc>
          <w:tcPr>
            <w:tcW w:w="5300" w:type="dxa"/>
            <w:vAlign w:val="bottom"/>
          </w:tcPr>
          <w:p>
            <w:pPr>
              <w:ind w:left="600"/>
              <w:spacing w:after="0"/>
              <w:rPr>
                <w:sz w:val="20"/>
                <w:szCs w:val="20"/>
                <w:color w:val="auto"/>
              </w:rPr>
            </w:pPr>
            <w:r>
              <w:rPr>
                <w:rFonts w:ascii="Arial" w:cs="Arial" w:eastAsia="Arial" w:hAnsi="Arial"/>
                <w:sz w:val="16"/>
                <w:szCs w:val="16"/>
                <w:color w:val="auto"/>
              </w:rPr>
              <w:t>President and CEO, Advanced Visualization Solutions</w:t>
            </w:r>
          </w:p>
        </w:tc>
      </w:tr>
      <w:tr>
        <w:trPr>
          <w:trHeight w:val="28"/>
        </w:trPr>
        <w:tc>
          <w:tcPr>
            <w:tcW w:w="36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23"/>
        </w:trPr>
        <w:tc>
          <w:tcPr>
            <w:tcW w:w="36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Roland Rott</w:t>
            </w:r>
          </w:p>
        </w:tc>
        <w:tc>
          <w:tcPr>
            <w:tcW w:w="2300" w:type="dxa"/>
            <w:vAlign w:val="bottom"/>
            <w:tcBorders>
              <w:bottom w:val="single" w:sz="8" w:color="E4E4E4"/>
            </w:tcBorders>
            <w:shd w:val="clear" w:color="auto" w:fill="E4E4E4"/>
          </w:tcPr>
          <w:p>
            <w:pPr>
              <w:jc w:val="center"/>
              <w:ind w:left="679"/>
              <w:spacing w:after="0"/>
              <w:rPr>
                <w:sz w:val="20"/>
                <w:szCs w:val="20"/>
                <w:color w:val="auto"/>
              </w:rPr>
            </w:pPr>
            <w:r>
              <w:rPr>
                <w:rFonts w:ascii="Arial" w:cs="Arial" w:eastAsia="Arial" w:hAnsi="Arial"/>
                <w:sz w:val="16"/>
                <w:szCs w:val="16"/>
                <w:color w:val="auto"/>
              </w:rPr>
              <w:t>54</w:t>
            </w:r>
          </w:p>
        </w:tc>
        <w:tc>
          <w:tcPr>
            <w:tcW w:w="5300" w:type="dxa"/>
            <w:vAlign w:val="bottom"/>
            <w:tcBorders>
              <w:bottom w:val="single" w:sz="8" w:color="E4E4E4"/>
            </w:tcBorders>
            <w:shd w:val="clear" w:color="auto" w:fill="E4E4E4"/>
          </w:tcPr>
          <w:p>
            <w:pPr>
              <w:ind w:left="600"/>
              <w:spacing w:after="0"/>
              <w:rPr>
                <w:sz w:val="20"/>
                <w:szCs w:val="20"/>
                <w:color w:val="auto"/>
              </w:rPr>
            </w:pPr>
            <w:r>
              <w:rPr>
                <w:rFonts w:ascii="Arial" w:cs="Arial" w:eastAsia="Arial" w:hAnsi="Arial"/>
                <w:sz w:val="16"/>
                <w:szCs w:val="16"/>
                <w:color w:val="auto"/>
              </w:rPr>
              <w:t>President and CEO, Imaging</w:t>
            </w:r>
          </w:p>
        </w:tc>
      </w:tr>
      <w:tr>
        <w:trPr>
          <w:trHeight w:val="20"/>
        </w:trPr>
        <w:tc>
          <w:tcPr>
            <w:tcW w:w="360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530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brief biographies describing the backgrounds of our executive officers.</w:t>
      </w:r>
    </w:p>
    <w:p>
      <w:pPr>
        <w:spacing w:after="0" w:line="127"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b w:val="1"/>
          <w:bCs w:val="1"/>
          <w:i w:val="1"/>
          <w:iCs w:val="1"/>
          <w:color w:val="auto"/>
        </w:rPr>
        <w:t>Peter J. Arduini</w:t>
      </w:r>
      <w:r>
        <w:rPr>
          <w:rFonts w:ascii="Arial" w:cs="Arial" w:eastAsia="Arial" w:hAnsi="Arial"/>
          <w:sz w:val="16"/>
          <w:szCs w:val="16"/>
          <w:color w:val="auto"/>
        </w:rPr>
        <w:t>. Mr. Arduini was appointed as our President and Chief Executive Officer in connection with the Spin-Off. He served as the President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Chief Executive Officer of GE’s healthcare business from January 2022 until the Spin-Off. Previously, Mr. Arduini was the President and Chief Executive Officer of Integra LifeSciences (Nasdaq: IART) (“Integra”), a global medical technologies and solutions company, from January 2012 to December 2021. Prior to Integra, Mr. Arduini worked at Baxter Healthcare as President of its Medication Delivery division. Before Baxter Healthcare, he spent 15 years at GE’s healthcare business in a variety of leadership roles in the United States and globally, including leading the Computed Tomography and Molecular Imaging business, Healthcare Services, and U.S. sales. Mr. Arduini serves on the boards of the Bristol-Myers Squibb Company (NYSE: BMY), where he serves as chair of the compensation and management development committee; AdvaMed, where he served as Chairman of the Board from January 2024 until January 2026; and the National Italian American Foundation.</w:t>
      </w:r>
    </w:p>
    <w:p>
      <w:pPr>
        <w:spacing w:after="0" w:line="9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b w:val="1"/>
          <w:bCs w:val="1"/>
          <w:i w:val="1"/>
          <w:iCs w:val="1"/>
          <w:color w:val="auto"/>
        </w:rPr>
        <w:t>James K. Saccaro</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Saccaro has served as our Vice President and Chief Financial Officer since June 2023. Previously, Mr. Saccaro served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Officer of Baxter International Inc. (NYSE: BAX) (“Baxter”), a multinational healthcare company, starting in 2015. He held a variety of positions of increasing responsibility at Baxter from 2002 through 2013, including Vice President of Financial Planning and Analysis; Vice President of Finance for Baxter’s operations in Europe, the Middle East, and Africa; Vice President of Strategy; and Corporate Vice President and Treasurer. Mr. Saccaro served as Senior Vice President and Chief Financial Officer of Hill-Rom Holdings, Inc. from 2013 to 2014 prior to rejoining Baxter as Special Assistant to the Chief Executive Officer in 2014. Prior to 2002, he held strategy and business development positions at Clear Channel Communications and The Walt Disney Company.</w:t>
      </w:r>
    </w:p>
    <w:p>
      <w:pPr>
        <w:spacing w:after="0" w:line="95"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b w:val="1"/>
          <w:bCs w:val="1"/>
          <w:i w:val="1"/>
          <w:iCs w:val="1"/>
          <w:color w:val="auto"/>
        </w:rPr>
        <w:t>Jeannette Bankes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Bankes has served as our President and Chief Executive Officer, Patient Care Solutions since May 2025. Previously, Ms. Bankes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President, Global Franchises at Alcon Inc. (NYSE: ALC), a global manufacturer of vision care products and surgical equipment, from March 2019 to April 2025. Ms. Bankes has served on the board of Aurion Biotech, a clinical-stage regenerative medicine company, since February 2025 and served on the board of Atrion Corp. (Nasdaq: ATRI), a manufacturer of medical application products, from September 2023 to August 2024 and on the board of Apollo Endosurgery, Inc. (Nasdaq: APEN), a medical technology company, from April 2022 to April 2023.</w:t>
      </w:r>
    </w:p>
    <w:p>
      <w:pPr>
        <w:spacing w:after="0" w:line="9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b w:val="1"/>
          <w:bCs w:val="1"/>
          <w:i w:val="1"/>
          <w:iCs w:val="1"/>
          <w:color w:val="auto"/>
        </w:rPr>
        <w:t>Adam Y. Holton</w:t>
      </w:r>
      <w:r>
        <w:rPr>
          <w:rFonts w:ascii="Arial" w:cs="Arial" w:eastAsia="Arial" w:hAnsi="Arial"/>
          <w:sz w:val="16"/>
          <w:szCs w:val="16"/>
          <w:color w:val="auto"/>
        </w:rPr>
        <w:t>. Mr. Holton has served as our Chief People Officer since June 2024. Previously, Mr. Holton served as Chief People Officer of Amedisys,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home health company, from October 2022 to June 2024. Prior to that role, he served as Chief Human Resources Officer at Numotion, a provider of rehab technology, from February 2019 to October 2022. Mr. Holton also previously worked as Senior Vice President of Human Resources at USAA, a financial services company, and as Chief Human Resources Officer at CHS Inc., a Fortune-100 agricultural cooperative. Earlier in his career, Mr. Holton worked at GE, including GE’s healthcare business. He has served on the Board of Sierra Delta since February 2018 and served as Board Chair from November 2018 until November 2023.</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Frank R. Jimenez</w:t>
      </w:r>
      <w:r>
        <w:rPr>
          <w:rFonts w:ascii="Arial" w:cs="Arial" w:eastAsia="Arial" w:hAnsi="Arial"/>
          <w:sz w:val="16"/>
          <w:szCs w:val="16"/>
          <w:color w:val="auto"/>
        </w:rPr>
        <w:t>. Mr. Jimenez has served as our General Counsel and Corporate Secretary since the Spin-Off. He served as the General Counsel of GE’s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healthcare business from February 2022 until the Spin-Off. Previously, Mr. Jimenez served as Vice President, General Counsel and Corporate Secretary of Raytheon Company, a defense contractor, from January 2015 to April 2020 and, following Raytheon’s merger with United Technologies Corporation, as Executive Vice President and General Counsel (April 2020 to December 2021) and Special Advisor to the Chairman and Chief Executive Officer (December 2021 to February 2022) of Raytheon Technologies Corporation, an aerospace and defense company. In prior public company positions, Mr. Jimenez served as General Counsel of Bunge Limited, ITT Corporation, and ITT spin-off Xylem Inc. In prior public service positions, Mr. Jimenez served as General Counsel of the Navy, Deputy General Counsel of the U.S. Department of Defense, Principal Deputy General Counsel of the Navy, Chief of Staff at the U.S. Department of Housing and Urban Development, and Deputy Chief of Staff and Acting General Counsel for former Florida Governor Jeb Bush. He was previously a litigation partner at Steel Hector &amp; Davis LLP (now Squire Patton Boggs LLP). Mr. Jimenez serves on the boards of Huntington Ingalls Industries (NYSE: HII), where he serves on the compensation committee and the governance and policy committee; the Ann &amp; Robert H. Lurie Children’s Hospital of Chicago and Medical Center, where he serves on the audit committee; Equal Justice Works, where he serves as Chairman; and the Executive Committee of the Yale Law School Association, where he serves as President. He also serves on the advisory boards of the Columbia University Mailman School of Public Health and the Yale Law School Center for the Study of Corporate Law, as well as on the University of Miami President’s Council.</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b w:val="1"/>
          <w:bCs w:val="1"/>
          <w:i w:val="1"/>
          <w:iCs w:val="1"/>
          <w:color w:val="auto"/>
        </w:rPr>
        <w:t>Taha Kass-Hout</w:t>
      </w:r>
      <w:r>
        <w:rPr>
          <w:rFonts w:ascii="Arial" w:cs="Arial" w:eastAsia="Arial" w:hAnsi="Arial"/>
          <w:sz w:val="16"/>
          <w:szCs w:val="16"/>
          <w:color w:val="auto"/>
        </w:rPr>
        <w:t>. Dr. Taha Kass-Hout, MD, MS, has served as GE HealthCare’s Global Chief Science and Technology Officer since January 2023. Merging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his background in interventional cardiology with AI and machine learning, he is driving advancements in AI-based medical imaging, diagnostics, and health system operational efficiency. Prior to his role at GE HealthCare, Dr. Kass-Hout served as Vice President of Machine Learning, Distinguished Engineer, and Chief Medical Officer at Amazon from May 2017 to January 2023, where he led the company’s health AI strategy, technologies, and solutions, including Amazon Comprehend Medical, AWS HealthLake, and Amazon Pharmacy. He also played a critical role in establishing Amazon’s COVID-19 diagnostics lab, including Amazon’s first U.S. FDA authorization for testing its associates globally—later offered to the public for at-home testing. From 2013 to 2016, Dr. Kass-Hout was the first Chief Health Informatics Officer at the FDA, where he championed data transparency through initiatives including openFDA and precisionFDA. Dr. Kass-Hout was appointed as the first Chair of the AdvaMed Digital Health Tech Division Board of Directors, a position he held from October 2023 until January 2026.</w:t>
      </w:r>
    </w:p>
    <w:p>
      <w:pPr>
        <w:spacing w:after="0" w:line="218"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b w:val="1"/>
          <w:bCs w:val="1"/>
          <w:i w:val="1"/>
          <w:iCs w:val="1"/>
          <w:color w:val="auto"/>
        </w:rPr>
        <w:t>Kevin M. O’Neill</w:t>
      </w:r>
      <w:r>
        <w:rPr>
          <w:rFonts w:ascii="Arial" w:cs="Arial" w:eastAsia="Arial" w:hAnsi="Arial"/>
          <w:sz w:val="16"/>
          <w:szCs w:val="16"/>
          <w:color w:val="auto"/>
        </w:rPr>
        <w:t>. Mr. O’Neill has served as our President and Chief Executive Officer, Pharmaceutical Diagnostics since the Spin-Off. He served as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Pharmaceutical Diagnostics of GE’s healthcare business from July 2017 until the Spin-Off and served as President and Chief Executive Officer, GE U.K. and Ireland, from January 2018 until the Spin-Off. From August 2013 to January 2018, he was the Chief Financial Officer of the Life Sciences division of GE’s healthcare business. Mr. O’Neill has over 25 years of experience with GE, beginning in the Energy services business in the U.K. and U.S. followed by a series of chief financial officer roles in GE’s healthcare business, including in the Life Sciences business, supply chain, Western Europe, and the PDx business. Prior to joining GE, Mr. O’Neill was Financial Controller for Eurostar, the European high-speed train operator.</w:t>
      </w:r>
    </w:p>
    <w:p>
      <w:pPr>
        <w:spacing w:after="0" w:line="20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b w:val="1"/>
          <w:bCs w:val="1"/>
          <w:i w:val="1"/>
          <w:iCs w:val="1"/>
          <w:color w:val="auto"/>
        </w:rPr>
        <w:t>Philip Rackliffe</w:t>
      </w:r>
      <w:r>
        <w:rPr>
          <w:rFonts w:ascii="Arial" w:cs="Arial" w:eastAsia="Arial" w:hAnsi="Arial"/>
          <w:sz w:val="16"/>
          <w:szCs w:val="16"/>
          <w:color w:val="auto"/>
        </w:rPr>
        <w:t>. Mr. Rackliffe has served as our President and Chief Executive Officer, Advanced Visualization Solutions since July 2024. Previously,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Rackliffe served as President and Chief Executive Officer of our Image Guided Therapies business from August 2022 to June 2024. From October 2019 to August 2022, Mr. Rackliffe served as the Chief Executive Officer of Centerline Biomedical, a biomedical device and imaging company. He has over 25 years of global experience in medtech, medical device, imaging and pharmaceutical companies, both public and private, including Baxter, Boston Scientific, and Pfizer.</w:t>
      </w:r>
    </w:p>
    <w:p>
      <w:pPr>
        <w:spacing w:after="0" w:line="199"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i w:val="1"/>
          <w:iCs w:val="1"/>
          <w:color w:val="auto"/>
        </w:rPr>
        <w:t>Roland Rott</w:t>
      </w:r>
      <w:r>
        <w:rPr>
          <w:rFonts w:ascii="Arial" w:cs="Arial" w:eastAsia="Arial" w:hAnsi="Arial"/>
          <w:sz w:val="16"/>
          <w:szCs w:val="16"/>
          <w:color w:val="auto"/>
        </w:rPr>
        <w:t>. Mr. Rott has served as our President and Chief Executive Officer, Imaging since July 2024. Prior to that, Mr. Rott served as our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Ultrasound from the Spin-Off to June 2024. He served as Chief Executive Officer, Ultrasound of GE’s healthcare business from April 2021 until the Spin-Off. Mr. Rott joined GE’s healthcare business in 2011 and held several leadership roles, including in the global Women’s Health Ultrasound and Ultrasound IT segments as well as Maternal Infant Care. Before joining GE, Mr. Rott was Managing Director, Europe, the Middle East, and Africa and Asia Pacific, and Executive Board Member of Exact Holding. In his early career, he had an entrepreneurial start, founding and successfully exiting two software companies in Austria.</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ETHICS AND GOVERNANCE</w:t>
      </w:r>
    </w:p>
    <w:p>
      <w:pPr>
        <w:spacing w:after="0" w:line="26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We have adopted The Spirit &amp; The Letter (GE HealthCare’s code of conduct), which qualifies as a code of ethics under Item 406 of Regulation S-K. The code applies to all of our directors, officers, and employees, including our principal executive officer, principal financial officer, principal accounting officer or controller, and persons performing similar functions.</w:t>
      </w:r>
    </w:p>
    <w:p>
      <w:pPr>
        <w:spacing w:after="0" w:line="191"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Our code of ethics is available free of charge on our website, gehealthcare.com, and will be provided free of charge to any stockholder submitting a written request to: Corporate Secretary, GE HealthCare Technologies Inc., 500 W. Monroe Street, Chicago, IL 60661. We will disclose any waiver we grant to an executive officer or director under our code of ethics, or certain amendments to the code of ethics, on our website.</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In addition, we have adopted Governance Principles and charters for each of the three standing committees of our Board. All of these materials are available on our web site, gehealthcare.com, and will be provided free of charge to any stockholder requesting a copy by writing to: Corporate Secretary, GE HealthCare Technologies Inc., 500 W. Monroe Street, Chicago, IL 60661.</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 ABOUT GE HEALTHCARE</w:t>
      </w:r>
    </w:p>
    <w:p>
      <w:pPr>
        <w:spacing w:after="0" w:line="262"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GE HealthCare’s Internet address is gehealthcare.com, and our Investor Relations website is investor.gehealthcare.com. Our Annual Report on Form 10-K, Quarterly Reports on Form 10-Q, Current Reports on Form 8-K, and amendments to those reports filed or furnished pursuant to Section 13(a) or 15(d) of the Securities Exchange Act of 1934, as amended (the “Exchange Act”), are available, without charge, on our website, as soon as reasonably practicable after they are filed electronically with the SEC. Reports filed with the SEC may be viewed at sec.gov. The information on our website is not, and shall not be deemed to be, a part of this Annual Report on Form 10-K or incorporated into any other filings we make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7"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An investment in our company is subject to a number of risks. These risks and other risks could materially and adversely affect our business, results of operations, cash flows, financial condition, or prospects and the actual outcome of matters as to which forward-looking statements are made in this Annual Report on Form 10-K. You should carefully consider the following risks and other information in this Annual Report on Form 10-K in evaluating us and our common stock.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26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This summary of risks is intended to provide an overview of the principal risks we face and should not be considered a substitute for a review of the more detailed risk factors discussed immediately following this summary.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Industry and Economic Risks</w:t>
      </w:r>
    </w:p>
    <w:p>
      <w:pPr>
        <w:spacing w:after="0" w:line="246"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operate in highly competitive markets.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business is subject to the effects of global geopolitical and economic instability and public health crises.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Efforts by public and private payers to control the growth of healthcare costs may affect the price of and demand for our products and services.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and Operational Risks</w:t>
      </w:r>
    </w:p>
    <w:p>
      <w:pPr>
        <w:spacing w:after="0" w:line="260" w:lineRule="exact"/>
        <w:rPr>
          <w:sz w:val="20"/>
          <w:szCs w:val="20"/>
          <w:color w:val="auto"/>
        </w:rPr>
      </w:pPr>
    </w:p>
    <w:p>
      <w:pPr>
        <w:ind w:left="660" w:right="30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business strategy could be adversely affected if we are unable to successfully complete strategic transactions or manage our collaboration, joint venture, or similar arrangements.</w:t>
      </w:r>
    </w:p>
    <w:p>
      <w:pPr>
        <w:spacing w:after="0" w:line="196" w:lineRule="exact"/>
        <w:rPr>
          <w:rFonts w:ascii="Arial" w:cs="Arial" w:eastAsia="Arial" w:hAnsi="Arial"/>
          <w:sz w:val="16"/>
          <w:szCs w:val="16"/>
          <w:color w:val="auto"/>
        </w:rPr>
      </w:pPr>
    </w:p>
    <w:p>
      <w:pPr>
        <w:ind w:left="660" w:right="500" w:hanging="328"/>
        <w:spacing w:after="0" w:line="286"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business strategy includes substantial investment in R&amp;D, with a focus on AI, cloud, edge computing, and software offerings. We cannot guarantee that these investments will generate new offerings, attract customers, or generate sufficient revenue.</w:t>
      </w:r>
    </w:p>
    <w:p>
      <w:pPr>
        <w:spacing w:after="0" w:line="196" w:lineRule="exact"/>
        <w:rPr>
          <w:rFonts w:ascii="Arial" w:cs="Arial" w:eastAsia="Arial" w:hAnsi="Arial"/>
          <w:sz w:val="16"/>
          <w:szCs w:val="16"/>
          <w:color w:val="auto"/>
        </w:rPr>
      </w:pPr>
    </w:p>
    <w:p>
      <w:pPr>
        <w:ind w:left="660" w:right="1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inability to manage our supply chain or obtain supplies of components or raw materials, as well as any interruption in the operations of our facilities, our suppliers’, customers’, or third-party providers’ facilities, has restricted, and could continue to restrict, the manufacturing of products, cause delays in delivery, impair our ability to deliver products or provide services, or significantly increase our costs.</w:t>
      </w:r>
    </w:p>
    <w:p>
      <w:pPr>
        <w:spacing w:after="0" w:line="191"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manufacture and sell products that rely upon software and computer systems to operate properly and process and store confidential information. Our business could be adversely affected by increased cybersecurity requirements, vulnerabilities, threats, and more sophisticated and targeted cybercrimes, and our inability to obtain, maintain, protect, or effectively enforce our IP rights.</w:t>
      </w:r>
    </w:p>
    <w:p>
      <w:pPr>
        <w:spacing w:after="0" w:line="191" w:lineRule="exact"/>
        <w:rPr>
          <w:rFonts w:ascii="Arial" w:cs="Arial" w:eastAsia="Arial" w:hAnsi="Arial"/>
          <w:sz w:val="16"/>
          <w:szCs w:val="16"/>
          <w:color w:val="auto"/>
        </w:rPr>
      </w:pPr>
    </w:p>
    <w:p>
      <w:pPr>
        <w:ind w:left="660" w:right="36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If we are unable to attract or retain key talent and qualified employees or maintain relations with our employees or employee representatives, it could adversely affect our business.</w:t>
      </w:r>
    </w:p>
    <w:p>
      <w:pPr>
        <w:spacing w:after="0" w:line="168" w:lineRule="exact"/>
        <w:rPr>
          <w:rFonts w:ascii="Arial" w:cs="Arial" w:eastAsia="Arial" w:hAnsi="Arial"/>
          <w:sz w:val="16"/>
          <w:szCs w:val="16"/>
          <w:color w:val="auto"/>
        </w:rPr>
      </w:pPr>
    </w:p>
    <w:p>
      <w:pPr>
        <w:ind w:left="660" w:right="520" w:hanging="328"/>
        <w:spacing w:after="0" w:line="304"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Increasing attention to sustainability matters, including environmental, health, and safety (“EH&amp;S”) matters, may impose additional costs and expose us to new risks.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Regulatory and Legal Risks</w:t>
      </w:r>
    </w:p>
    <w:p>
      <w:pPr>
        <w:spacing w:after="0" w:line="260" w:lineRule="exact"/>
        <w:rPr>
          <w:sz w:val="20"/>
          <w:szCs w:val="20"/>
          <w:color w:val="auto"/>
        </w:rPr>
      </w:pPr>
    </w:p>
    <w:p>
      <w:pPr>
        <w:ind w:left="660" w:right="240" w:hanging="328"/>
        <w:spacing w:after="0" w:line="26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business operations are subject to extensive laws and regulations, including with regard to the development, authorization and commercialization of our products, as well as anti-corruption and anti-bribery laws, anti-kickback and false claims laws, antitrust and competition laws, privacy and information security laws, and applicable tax laws. Any changes to or violations of these laws and regulations could have a material adverse effect on our business.</w:t>
      </w:r>
    </w:p>
    <w:p>
      <w:pPr>
        <w:spacing w:after="0" w:line="213" w:lineRule="exact"/>
        <w:rPr>
          <w:rFonts w:ascii="Arial" w:cs="Arial" w:eastAsia="Arial" w:hAnsi="Arial"/>
          <w:sz w:val="16"/>
          <w:szCs w:val="16"/>
          <w:color w:val="auto"/>
        </w:rPr>
      </w:pPr>
    </w:p>
    <w:p>
      <w:pPr>
        <w:ind w:left="660" w:right="118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subject to laws and regulations in many jurisdictions governing government contracts, public procurement, and government reimbursements, as to which the failure to comply could adversely affect our business.</w:t>
      </w:r>
    </w:p>
    <w:p>
      <w:pPr>
        <w:spacing w:after="0" w:line="196" w:lineRule="exact"/>
        <w:rPr>
          <w:rFonts w:ascii="Arial" w:cs="Arial" w:eastAsia="Arial" w:hAnsi="Arial"/>
          <w:sz w:val="16"/>
          <w:szCs w:val="16"/>
          <w:color w:val="auto"/>
        </w:rPr>
      </w:pPr>
    </w:p>
    <w:p>
      <w:pPr>
        <w:ind w:left="660" w:right="180" w:hanging="328"/>
        <w:spacing w:after="0" w:line="286"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exposed to risks associated with potential litigation, arbitration, and governmental proceedings, including product liability claims that have been and may be brought against us.</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Risks</w:t>
      </w:r>
    </w:p>
    <w:p>
      <w:pPr>
        <w:spacing w:after="0" w:line="260"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existing indebtedness, and any additional indebtedness that we may incur, could have important consequences for our business.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have significant postretirement benefit liabilities and their actual costs and related cash flows are uncertain and could exceed current estimates.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AND ECONOMIC RISKS.</w:t>
      </w:r>
    </w:p>
    <w:p>
      <w:pPr>
        <w:spacing w:after="0" w:line="250"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We operate in highly competitive markets, competition may increase in the future, and our industry may be disrupted, requiring us to lower prices or resulting in a loss of market share.</w:t>
      </w:r>
    </w:p>
    <w:p>
      <w:pPr>
        <w:spacing w:after="0" w:line="156"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Healthcare markets are characterized by rapidly evolving technology, frequent introduction of new products, intense competition, and pricing pressures. We face substantial competition from international and domestic companies of all sizes, and these competitors often differ across our businesses. Competition is primarily focused on cost-effectiveness, pricing, service, product performance, and technological innovation. Our ability to compete successfully may be adversely affected by factors such as:</w:t>
      </w:r>
    </w:p>
    <w:p>
      <w:pPr>
        <w:spacing w:after="0" w:line="195" w:lineRule="exact"/>
        <w:rPr>
          <w:sz w:val="20"/>
          <w:szCs w:val="20"/>
          <w:color w:val="auto"/>
        </w:rPr>
      </w:pPr>
    </w:p>
    <w:p>
      <w:pPr>
        <w:ind w:left="660" w:right="80" w:hanging="328"/>
        <w:spacing w:after="0" w:line="30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development of new technology, the application of known or unknown technology, advances in medicine, or new developments in the treatment or diagnosis of disease that transform our industry or render a product or product line obsolete;</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competitors responding more quickly or effectively to new technology, or changes in customer requirements and industry trends;</w:t>
      </w:r>
    </w:p>
    <w:p>
      <w:pPr>
        <w:spacing w:after="0" w:line="261" w:lineRule="exact"/>
        <w:rPr>
          <w:rFonts w:ascii="Arial" w:cs="Arial" w:eastAsia="Arial" w:hAnsi="Arial"/>
          <w:sz w:val="16"/>
          <w:szCs w:val="16"/>
          <w:color w:val="auto"/>
        </w:rPr>
      </w:pPr>
    </w:p>
    <w:p>
      <w:pPr>
        <w:ind w:left="660" w:right="56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introduction of new or more affordable products or product enhancements by competitors, including products that could substitute for our products or reprocessed products or generic versions when our proprietary products lose their patent protection;</w:t>
      </w:r>
    </w:p>
    <w:p>
      <w:pPr>
        <w:spacing w:after="0" w:line="196" w:lineRule="exact"/>
        <w:rPr>
          <w:rFonts w:ascii="Arial" w:cs="Arial" w:eastAsia="Arial" w:hAnsi="Arial"/>
          <w:sz w:val="16"/>
          <w:szCs w:val="16"/>
          <w:color w:val="auto"/>
        </w:rPr>
      </w:pPr>
    </w:p>
    <w:p>
      <w:pPr>
        <w:ind w:left="660" w:right="18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satisfy local market conditions and regulations, such as mandatory IP transfers, protectionist measures, and other government policies supporting increased local competition;</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application of new or innovative business models to our industry;</w:t>
      </w:r>
    </w:p>
    <w:p>
      <w:pPr>
        <w:spacing w:after="0" w:line="248" w:lineRule="exact"/>
        <w:rPr>
          <w:rFonts w:ascii="Arial" w:cs="Arial" w:eastAsia="Arial" w:hAnsi="Arial"/>
          <w:sz w:val="16"/>
          <w:szCs w:val="16"/>
          <w:color w:val="auto"/>
        </w:rPr>
      </w:pPr>
    </w:p>
    <w:p>
      <w:pPr>
        <w:ind w:left="660" w:right="860" w:hanging="328"/>
        <w:spacing w:after="0" w:line="30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emergence of new market entrants, including those with innovative technology or substantial financial resources, such as startups or established technology companies;</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maintain or expand relationships with existing customers or attract new customers;</w:t>
      </w:r>
    </w:p>
    <w:p>
      <w:pPr>
        <w:spacing w:after="0" w:line="261"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 of production or delivery, whether due to geographic location, currency fluctuations, taxes, tariffs, duties, or otherwise, which may enable our competitors to offer greater discounts or lower prices;</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performance, capability, and integrity of third parties, including due to their financial instability or their compliance or regulatory failures;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perception of our brand and image in the market;</w:t>
      </w:r>
    </w:p>
    <w:p>
      <w:pPr>
        <w:spacing w:after="0" w:line="261" w:lineRule="exact"/>
        <w:rPr>
          <w:rFonts w:ascii="Arial" w:cs="Arial" w:eastAsia="Arial" w:hAnsi="Arial"/>
          <w:sz w:val="16"/>
          <w:szCs w:val="16"/>
          <w:color w:val="auto"/>
        </w:rPr>
      </w:pPr>
    </w:p>
    <w:p>
      <w:pPr>
        <w:ind w:left="660" w:right="20" w:hanging="328"/>
        <w:spacing w:after="0" w:line="275"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strengthening of independent service organizations (“ISOs”) (third-party entities that specialize in the repair and maintenance of medical devices produced by original equipment manufacturers (“OEMs”), including us) and companies specializing in one or more of our operating segments or offerings;</w:t>
      </w:r>
    </w:p>
    <w:p>
      <w:pPr>
        <w:spacing w:after="0" w:line="191" w:lineRule="exact"/>
        <w:rPr>
          <w:rFonts w:ascii="Arial" w:cs="Arial" w:eastAsia="Arial" w:hAnsi="Arial"/>
          <w:sz w:val="16"/>
          <w:szCs w:val="16"/>
          <w:color w:val="auto"/>
        </w:rPr>
      </w:pPr>
    </w:p>
    <w:p>
      <w:pPr>
        <w:ind w:left="660" w:right="320" w:hanging="328"/>
        <w:spacing w:after="0" w:line="304" w:lineRule="auto"/>
        <w:tabs>
          <w:tab w:leader="none" w:pos="649"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successfully enter new or emerging geographic or adjacent product markets, including as a result of pricing pressures from local and international competitors in those markets;</w:t>
      </w:r>
    </w:p>
    <w:p>
      <w:pPr>
        <w:spacing w:after="0" w:line="16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failure to acquire or effectively integrate businesses and technologies that complement or expand our existing businesses;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changing regulatory standards, legal requirements, or enforcement rigor; or</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consolidation among customers, suppliers, channel partners, or competitors.</w:t>
      </w:r>
    </w:p>
    <w:p>
      <w:pPr>
        <w:spacing w:after="0" w:line="262"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implementation of localization requirements and the other government policies in certain geographies such as China and Russia creates a risk that, if we do not localize our products or operations to meet such requirements, we could lose market share and experience adverse effects on our business results, cash flows, and financial condition.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Our service organization allows us to deliver service offerings through an extensive network of field service engineers, global repair centers, and customer service centers. Increased competition from ISOs and evolving regulatory and legislative policies could adversely impact our business and financial results. For example, in the U.S. and Europe, ISOs continue to seek access to OEM service tools, parts, documents, software updates, and training. Specifically, the Librarian of Congress in the U.S. has authorized a copyright act exemption that allows third-party repair companies to circumvent OEM copyright protections on software in its medical imaging device or system if circumvention is necessary to diagnose, maintain, or repair such device or system. Similarly, regulatory and legislative changes, such as the adoption of right-to-repair laws in the U.S. and elsewhere, could further strengthen the ability of ISOs to obtain valuable service contracts and compete with us in the services area. In addition to affecting our services business, the activities of ISOs could expose us to a number of other risks related to safety, quality, security, or performance of our products. This could increase compliance costs, require changes to our business practices, or otherwise impact our ability to compete in the services and repairs area.</w:t>
      </w:r>
    </w:p>
    <w:p>
      <w:pPr>
        <w:spacing w:after="0" w:line="218"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Our inability to obtain and maintain regulatory authorizations for and supply commercial quantities of our offerings as quickly and effectively as our competitors could limit market acceptance. Furthermore, our markets are continually evolving and thus revenues and income are difficult to forecast.</w:t>
      </w:r>
    </w:p>
    <w:p>
      <w:pPr>
        <w:spacing w:after="0" w:line="196"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recent years, U.S. and some international healthcare industry participants, including distributors, manufacturers, suppliers, healthcare providers, insurers, and pharmacy chains, have consolidated or formed strategic alliances. Consolidations create larger enterprises with greater negotiating power and may result in the loss of a customer where the combined enterprise selects one distributor from two incumbents. Additionally, the U.S. healthcare industry has undergone significant changes designed to help increase access to medical care, improve safety and patient outcomes, contain costs, and increase efficiencies. These changes include a general decline in and/or changes to public and private insurer reimbursement levels and payment models and the industry shifting away from traditional healthcare venues like hospitals and toward clinics, physician offices, and patients’ homes. We expect the U.S. and to some extent the international healthcare industry to continue to change in the future. Any of these factors could adversely affect our pricing, margins, and market share and have a material adverse effect on our business results, cash flows, financial condition, or prospects.</w:t>
      </w:r>
    </w:p>
    <w:p>
      <w:pPr>
        <w:spacing w:after="0" w:line="209" w:lineRule="exact"/>
        <w:rPr>
          <w:sz w:val="20"/>
          <w:szCs w:val="20"/>
          <w:color w:val="auto"/>
        </w:rPr>
      </w:pPr>
    </w:p>
    <w:p>
      <w:pPr>
        <w:ind w:right="660"/>
        <w:spacing w:after="0" w:line="294" w:lineRule="auto"/>
        <w:rPr>
          <w:sz w:val="20"/>
          <w:szCs w:val="20"/>
          <w:color w:val="auto"/>
        </w:rPr>
      </w:pPr>
      <w:r>
        <w:rPr>
          <w:rFonts w:ascii="Arial" w:cs="Arial" w:eastAsia="Arial" w:hAnsi="Arial"/>
          <w:sz w:val="16"/>
          <w:szCs w:val="16"/>
          <w:b w:val="1"/>
          <w:bCs w:val="1"/>
          <w:i w:val="1"/>
          <w:iCs w:val="1"/>
          <w:color w:val="auto"/>
        </w:rPr>
        <w:t>Global geopolitical and economic instability, as well as continuing uncertainties and challenging conditions in regional economies, could adversely affect our business.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generate the majority of our revenue outside of the U.S. and our business is sensitive to global economic conditions. Slower global economic growth; volatility in the currency and credit markets; inflationary pressures; high levels of unemployment or underemployment; reduced levels of capital expenditures; changes or anticipation of potential changes in government fiscal, tax, import and export, trade, and monetary policies; changes in capital requirements for financial institutions; disruptions in the financial services industry; actual or anticipated default on sovereign debt; government deficit reduction and budget negotiation dynamics; sequestration; austerity measures; and other challenges that affect the global economy could adversely affect us and our customers, suppliers, and channel partners. Both the U.S. and international markets have experienced and may continue to experience inflationary pressures. Economic instability could also cause renewed uncertainty in global markets and the investment climate to deteriorate.</w:t>
      </w:r>
    </w:p>
    <w:p>
      <w:pPr>
        <w:spacing w:after="0" w:line="21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imposition of tariffs, non-tariff barriers, and other import and export restrictions have contributed to increased global economic uncertainty. The rise of economic nationalism could make it more difficult for us to attract new customers, retain existing customers, continue to produce and source in an optimal manner, or maintain sales at existing levels, both in the U.S. and in other countries. Geopolitical and economic risks have increased over the past few years in many regions of the world, including in the U.S. Our operations expose us to the risk that increased trade protectionism may adversely affect our business. For example, during 2025, the U.S. imposed a variety of new tariffs on most imports from all countries in the world. This in turn prompted several countries to announce tariffs on U.S. imports. While the situation continues to be fluid, tariffs materially impacted our profitability and cash flows in 2025, primarily the bilateral U.S. and Chinese tariffs and U.S. tariffs on all other global import suppliers. Should the tariffs continue at formally communicated levels, we expect to continue to see a material impact to our financial results through the incurrence of additional costs. Additional tariffs or other trade restrictions by the U.S. or other countries where we do significant business, or other restrictions on specific industries, such as pharmaceuticals, could further materially impact our results in the future. We do not expect that our mitigation actions will fully offset the additional costs or other negative impacts resulting from the tariffs. In addition, current changes and uncertainties in global tariffs are causing volatility in our cost positioning in some international markets. Growing tensions, protectionist trade policies, and tariffs may also lead to a fragmentation of the global economy, operational and logistical shifts in supply chains that may lead to higher costs and longer lead times, a general reduction of international trade in goods and services, and a reduction in the integration of financial markets, any of which could materially and adversely affect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Further risks stem from ongoing and future geopolitical tensions and volatility and economic sanctions imposed relating to regions and persons included on sanctioned party lists. In particular, the conflict between Ukraine and Russia and resulting sanctions and other restrictions imposed by the U.S., the EU, and Russia may negatively impact our business and financial results to the extent the conflict and the sanctions significantly impact our ability to sell products or services to customers in the affected countries, collect receivables from such customers, or repatriate cash we do collect. Given the nature of our products, we do not believe that the current sanctions and other measures imposed by the U.S. and other countries preclude us from conducting business in the region. However, these sanctions have made, and will continue to make, it more burdensome and costly to serve customers in the region. Under the current U.S. Department of Commerce regulations, we are permitted to export, re-export, or transfer medical equipment and spare parts that meet stated criteria under a License Exception, which has eliminated the need for us to obtain individual U.S. licenses in most cases; however, licenses still may be needed for some transactions. The EU and other countries have also expanded licensing requirements for certain spare parts, services, software, and other items. The implementation of these measures affected our ability to supply customers in Russia in 2025 and is expected to continue to do so as we confirm applicability of the U.S. License Exception to our transactions and continue to obtain licenses. We will continue to apply for licenses to supply to these customers and to support our business in Russia, as required. There is no guarantee we will obtain all of the licenses for which we apply, that any approvals we obtain will be on a timely basis, or that our business in Russia will not be further disrupted due to evolving legal or operational considerations. In addition to the above, the U.S. Department of the Treasury’s Office of Foreign Assets Control administers laws and regulations that restrict U.S. persons and, in some instances, non-U.S. persons in conducting activities, transacting business with, or making investments in certain countries or with governments, entities, and individuals subject to U.S. economic sanctions. Furthermore, the U.S. Department of Commerce Bureau of Industry and Security administers export controls that apply to products, software, and technology. If the sanctions, restrictions, and other retaliatory measures imposed by the global community change, we may be required to cease or suspend our operations in the region or we may voluntarily elect to do so. Additionally, elections in various countries may further exacerbate geopolitical and geoeconomic tensions and market instability. The lead-up to these elections and their outcomes could result in sharp shifts in domestic, economic, and foreign policy approaches or even result in new or deepening geopolitical conflicts. Future geopolitical factors that have the effect of reducing capital expenditures generally, and for healthcare products, services, or solutions specifically, may negatively impact sales of our offerings and, as a result, make it more difficult for us to attract new customers, retain existing customers, or maintain sales at existing levels.</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impact of geopolitical and economic developments globally will depend on a number of factors, including the effectiveness of measures by central banks and financial authorities. Such developments may also result in or coincide with reduced budgets for capital equipment and services, particularly if it becomes more difficult for our customers to accurately forecast and plan future business activities. This, in turn, could cause our customers to reduce, delay, or abandon purchases of our offerings. An uncertain economic environment may also adversely affect our customers’ budgets and may result in pricing pressure, requests for extended warranty provisions, and cancellation of service contracts, and could make it more difficult for us to collect outstanding receivables, especially in emerging markets. Any of these risks could have a material adverse effect on our business, results of operations, cash flows, financial condition, or prospects.</w:t>
      </w:r>
    </w:p>
    <w:p>
      <w:pPr>
        <w:spacing w:after="0" w:line="200" w:lineRule="exact"/>
        <w:rPr>
          <w:sz w:val="20"/>
          <w:szCs w:val="20"/>
          <w:color w:val="auto"/>
        </w:rPr>
      </w:pPr>
    </w:p>
    <w:p>
      <w:pPr>
        <w:spacing w:after="0" w:line="21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b w:val="1"/>
          <w:bCs w:val="1"/>
          <w:i w:val="1"/>
          <w:iCs w:val="1"/>
          <w:color w:val="auto"/>
        </w:rPr>
        <w:t>Public health crises and epidemics and pandemics have had and, in the future, may have a material adverse impact on our business, as well as on the operations and financial performance of customers and suppliers in industries that we serve.</w:t>
      </w:r>
    </w:p>
    <w:p>
      <w:pPr>
        <w:spacing w:after="0" w:line="182"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operations and financial performance have been, and in the future may be, negatively impacted by public health crises and epidemics and pandemics, which have in the past caused, and may in the future cause, a slowdown of economic activity (including volatility in demand for our products, services, and solutions), disruptions in global supply chains, and significant volatility in financial markets. Additionally, as a result of such events, we have in the past experienced, and may in the future experience, operational challenges from the need to protect employee health and safety; site shutdowns; workplace disruptions; restrictions on the movement of people, raw materials, and goods (both at our own facilities and at those of our customers and suppliers); global supply chain disruptions; and price inflation. We also have experienced, and may in the future experience, unpredictable demand for our products, services, and solutions; customer requests for potential payment deferrals or other contract modifications; supply chain challenges; delays of deliveries and the achievement of other billing milestones; delays or cancellations of new projects and related down-payments; and other factors related, directly and indirectly, to the effects of any public health crisis, epidemic, or pandemic on our customers that adversely impact our businesses.</w:t>
      </w:r>
    </w:p>
    <w:p>
      <w:pPr>
        <w:spacing w:after="0" w:line="204"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ultimate impact of any public health crisis, epidemic, or pandemic on our operations and financial performance depends on many factors that are not within our control, including, but not limited to: the severity and duration of the public health crisis, epidemic, or pandemic; the impact of variants and resurgences; governmental, business, and individuals’ actions in response to the public health crisis, epidemic, or pandemic; the impact on global and regional economies, travel, and economic activity; the development, availability, and public acceptance of effective treatments or vaccines; our employees’ compliance with vaccine mandates that may apply in various jurisdictions; the availability of federal, state, local, or non-U.S. funding programs; global economic conditions and levels of economic growth; and the pace and extent of the ultimate recovery from the public health crisis, epidemic, or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7" w:name="page18"/>
    <w:bookmarkEnd w:id="1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Efforts by public and private payers to control the growth of healthcare costs may lead to lower reimbursements or increased utilization controls related to the use of our products by healthcare providers, which may affect the price of and demand for our products, services, or solutions.</w:t>
      </w:r>
    </w:p>
    <w:p>
      <w:pPr>
        <w:spacing w:after="0" w:line="18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Sales of many of our offerings directly or indirectly depend on the availability of reimbursement and the amount of reimbursement that our customers may seek from various third-party payers, including government programs, authorities, or agencies (e.g., Medicare and Medicaid in the U.S.), and private health plans. In general, employers and third-party payers, particularly in the U.S., have become increasingly cost-conscious, with higher deductibles imposed in many medical plans. The imposition of higher deductibles tends to inhibit individuals from seeking the same level of medical treatments as they might seek if the costs were lower, particularly in the medical diagnostic portion of our business. Third-party payers have also increased utilization controls related to the use of our offerings by healthcare providers.</w:t>
      </w:r>
    </w:p>
    <w:p>
      <w:pPr>
        <w:spacing w:after="0" w:line="203"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Without adequate support from third-party payers, the market for our offerings may be limited and adversely impacted. Governments and other payers may institute changes in healthcare delivery systems that reduce funding for services or encourage greater scrutiny of healthcare costs. The ability of customers to obtain appropriate reimbursement for our offerings from third-party payers is critical to the success of medical technology companies because it affects which offerings customers purchase and the prices they are willing to pay. For example, China has implemented volume-based procurement processes to constrain healthcare costs. Some countries impose drug price controls or reimbursement limitations for pharmaceutical products. Even if we develop promising new offerings, we may find limited demand for the offerings unless reimbursement approval is obtained from third-party payers. Further legislative or administrative reforms that impact reimbursements or pricing could have a material adverse effect on our business results, cash flows, financial condition, or prospects.</w:t>
      </w:r>
    </w:p>
    <w:p>
      <w:pPr>
        <w:spacing w:after="0" w:line="200" w:lineRule="exact"/>
        <w:rPr>
          <w:sz w:val="20"/>
          <w:szCs w:val="20"/>
          <w:color w:val="auto"/>
        </w:rPr>
      </w:pPr>
    </w:p>
    <w:p>
      <w:pPr>
        <w:spacing w:after="0" w:line="21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In the U.S., private third-party payers, although independent from Medicare, sometimes use portions of Medicare reimbursement policies and payment amounts in making their own reimbursement decisions. As a result, decisions by the Centers for Medicare and Medicaid Services (“CMS”) to reimburse for a diagnosis or treatment, or changes to Medicare’s reimbursement policies or reductions in payment amounts with respect to a diagnosis or treatment, sometimes extend to U.S. third-party payers’ reimbursement policies and amounts for that diagnosis or treatment. Decision-making by our U.S. customers is complicated by the uncertainty surrounding Medicare reimbursement rates for certain procedures. From time to time, CMS and third-party payers may review and modify the factors upon which they rely to determine appropriate levels of reimbursement for certain diagnoses or treatments. In China, government authorities control the inclusion or removal of drugs from the Essential Drug List and the National Reimbursement Drug List, which govern reimbursement under state-sponsored health plans. The removal or reclassification of our products on Chinese national or provincial lists can affect the reimbursement or reimbursement rate of our products in China. Any significant cuts in reimbursement rates or changes in reimbursement methodology or administration for procedures that use our offerings, or concerns or proposals regarding further cuts or changes in methodology or administration, could further increase uncertainty, adversely affect our customers’ decisions, reduce demand for our offerings, cause customers to cancel orders, and have a material adverse effect on our business results, cash flows, financial condition, or prospects.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AND OPERATIONAL RISKS.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successfully complete strategic transactions could adversely affect our business.</w:t>
      </w:r>
    </w:p>
    <w:p>
      <w:pPr>
        <w:spacing w:after="0" w:line="26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Our business strategy includes the acquisition of technologies and businesses that expand, accelerate, or complement our existing business. Successful growth through acquisitions depends upon our ability to identify suitable acquisition targets or assets, conduct due diligence, negotiate transactions on favorable terms, and ultimately complete such transactions and integrate the acquired target or asset successfully. See Note 8, "Acquisitions, Goodwill, and Other Intangible Assets" for a discussion of the acquisitions we completed or have entered into in 2025.</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Acquisitions may expose us to significant risks and uncertainties, including:</w:t>
      </w:r>
    </w:p>
    <w:p>
      <w:pPr>
        <w:spacing w:after="0" w:line="262" w:lineRule="exact"/>
        <w:rPr>
          <w:sz w:val="20"/>
          <w:szCs w:val="20"/>
          <w:color w:val="auto"/>
        </w:rPr>
      </w:pPr>
    </w:p>
    <w:p>
      <w:pPr>
        <w:ind w:left="660" w:right="22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competition for acquisition targets and assets, which may lead to substantial increases in purchase price or other terms that are less attractive to us, including the use of our shares for payment of the purchase price;</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dependence on external sources of capital, in particular to finance the purchase price of acquisitions;</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inquiries and rulings by antitrust, foreign direct investment, or other regulatory bodies;</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acquired companies’ previous failure to comply with applicable regulatory requirements;</w:t>
      </w:r>
    </w:p>
    <w:p>
      <w:pPr>
        <w:spacing w:after="0" w:line="261" w:lineRule="exact"/>
        <w:rPr>
          <w:rFonts w:ascii="Arial" w:cs="Arial" w:eastAsia="Arial" w:hAnsi="Arial"/>
          <w:sz w:val="16"/>
          <w:szCs w:val="16"/>
          <w:color w:val="auto"/>
        </w:rPr>
      </w:pPr>
    </w:p>
    <w:p>
      <w:pPr>
        <w:ind w:left="660" w:right="160" w:hanging="328"/>
        <w:spacing w:after="0" w:line="286"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failure to timely or successfully integrate acquired companies’ strategies, functions, systems, controls, including cybersecurity and data protection controls, and products into our own;</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inability to produce products at increased scale or loss of previously available distribution channels;</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heightened external scrutiny on acquired IP rights, regulatory exclusivity periods, and confidentiality agreements, or lack of IP rights for the acquired portfolio;</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diversion of our management’s attention from existing operations to the acquisition and integration process;</w:t>
      </w:r>
    </w:p>
    <w:p>
      <w:pPr>
        <w:spacing w:after="0" w:line="261" w:lineRule="exact"/>
        <w:rPr>
          <w:rFonts w:ascii="Arial" w:cs="Arial" w:eastAsia="Arial" w:hAnsi="Arial"/>
          <w:sz w:val="16"/>
          <w:szCs w:val="16"/>
          <w:color w:val="auto"/>
        </w:rPr>
      </w:pPr>
    </w:p>
    <w:p>
      <w:pPr>
        <w:ind w:left="660" w:right="16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failure to accurately predict or to realize expected growth opportunities, cost savings, synergies, and market acceptance of acquired companies’ products;</w:t>
      </w:r>
    </w:p>
    <w:p>
      <w:pPr>
        <w:spacing w:after="0" w:line="196" w:lineRule="exact"/>
        <w:rPr>
          <w:rFonts w:ascii="Arial" w:cs="Arial" w:eastAsia="Arial" w:hAnsi="Arial"/>
          <w:sz w:val="16"/>
          <w:szCs w:val="16"/>
          <w:color w:val="auto"/>
        </w:rPr>
      </w:pPr>
    </w:p>
    <w:p>
      <w:pPr>
        <w:ind w:left="660" w:right="820" w:hanging="328"/>
        <w:spacing w:after="0" w:line="286" w:lineRule="auto"/>
        <w:tabs>
          <w:tab w:leader="none" w:pos="649"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failure to identify significant non-compliant behaviors or practices by, or liabilities relating to, an acquisition target (or its agents) prior to acquisition;</w:t>
      </w:r>
    </w:p>
    <w:p>
      <w:pPr>
        <w:spacing w:after="0" w:line="196"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successor liability imposed by regulators for actions by a target (or its agents) prior to acquisition;</w:t>
      </w:r>
    </w:p>
    <w:p>
      <w:pPr>
        <w:spacing w:after="0" w:line="248"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expenses, delays, and difficulties in integrating acquired businesses into our existing businesses; and</w:t>
      </w:r>
    </w:p>
    <w:p>
      <w:pPr>
        <w:spacing w:after="0" w:line="261"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difficulties in retaining key customers and personnel.</w:t>
      </w:r>
    </w:p>
    <w:p>
      <w:pPr>
        <w:spacing w:after="0" w:line="24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Various other assessments and assumptions regarding acquisition targets may prove to be incorrect, and actual developments may differ significantly from our expectations.</w:t>
      </w:r>
    </w:p>
    <w:p>
      <w:pPr>
        <w:spacing w:after="0" w:line="168"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In addition, we also regularly evaluate a variety of other potential strategic transactions, including equity and other investments, and disposition of non-core assets or businesses. We may not successfully identify, complete, or manage the risks presented by these transactions, including those outlined above. Equity and other investments pose additional risks, as we could share ownership in both public and private companies and, in some cases, management responsibilities with one or more other parties whose objectives may diverge from ours over time; who may not have the same priorities, strategies, or resources as we do; or whose interpretation of applicable policies may differ from our own. Additionally, dispositions of non-core assets or businesses could involve difficulties in the separation of operations, services, products, and employees, the disruption of our business, and the potential loss of key employees.</w:t>
      </w:r>
    </w:p>
    <w:p>
      <w:pPr>
        <w:spacing w:after="0" w:line="200" w:lineRule="exact"/>
        <w:rPr>
          <w:sz w:val="20"/>
          <w:szCs w:val="20"/>
          <w:color w:val="auto"/>
        </w:rPr>
      </w:pPr>
    </w:p>
    <w:p>
      <w:pPr>
        <w:spacing w:after="0" w:line="201"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The occurrence of any of the above in connection with any acquisition or other strategic transaction could have a material adverse effect on our business, results of operations, cash flows, financial condition, or prospects.</w:t>
      </w:r>
    </w:p>
    <w:p>
      <w:pPr>
        <w:spacing w:after="0" w:line="170"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If we do not successfully manage our collaboration arrangements, licensing arrangements, joint ventures, or strategic alliances with third parties, we may not realize the expected benefits from such arrangements, which could adversely affect our business.</w:t>
      </w:r>
    </w:p>
    <w:p>
      <w:pPr>
        <w:spacing w:after="0" w:line="15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From time to time, we enter into collaborations, licensing arrangements, joint ventures, or strategic alliances with third parties to complement or augment our capabilities, including in R&amp;D, product development, manufacturing, and marketing. Evaluating, appropriately structuring, negotiating, and implementing such arrangements may be a lengthy and complex process and must meet applicable business, legal, and compliance requirements. Other companies may compete with us for these opportunities. As a result, we may not identify, secure, or complete such arrangements in a timely manner, on a cost-effective basis, or on otherwise favorable terms, if at all.</w:t>
      </w:r>
    </w:p>
    <w:p>
      <w:pPr>
        <w:spacing w:after="0" w:line="19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may not realize the expected benefits from these arrangements. We may not be able to exercise sole decision-making authority regarding any such collaboration, licensing arrangement, joint venture, or strategic alliance. This could create the risk of impasses on decisions, given that our partners in these arrangements may have economic or business interests that diverge from our interests. Conflicts may arise in these arrangements concerning the achievement of performance milestones or the interpretation of significant terms under any agreement (including financial obligations), termination rights, or the ownership or control of IP developed during the arrangement. Our partners may suffer adverse commercial, financial, or legal circumstances that are outside of our control and may jeopardize their success, our partners may terminate their relationships with us, or breakdowns in these relationships may give rise to disputes. Given the potentially different interests of the parties involved, we could suffer delays in product development, commercialization or other operational difficulties.</w:t>
      </w:r>
    </w:p>
    <w:p>
      <w:pPr>
        <w:spacing w:after="0" w:line="221"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These arrangements may require us to incur non-recurring and other charges, increase expenditures, or disrupt our ordinary business activities. These arrangements may expose us to known and unknown risks, including unique risks with respect to the economic, political, and regulatory environment of any foreign entities with which we partner, quality control, and legal and regulatory violations committed by partners whose actions are outside of our control. Any of the foregoing could have a material adverse effect on our business, results of operations,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520"/>
        <w:spacing w:after="0" w:line="279" w:lineRule="auto"/>
        <w:rPr>
          <w:sz w:val="20"/>
          <w:szCs w:val="20"/>
          <w:color w:val="auto"/>
        </w:rPr>
      </w:pPr>
      <w:r>
        <w:rPr>
          <w:rFonts w:ascii="Arial" w:cs="Arial" w:eastAsia="Arial" w:hAnsi="Arial"/>
          <w:sz w:val="16"/>
          <w:szCs w:val="16"/>
          <w:b w:val="1"/>
          <w:bCs w:val="1"/>
          <w:i w:val="1"/>
          <w:iCs w:val="1"/>
          <w:color w:val="auto"/>
        </w:rPr>
        <w:t>Our increasing focus on and investment in cloud, edge computing, AI, and software offerings present risks to our business. We may not be successful in driving the global deployment and customer adoption of digital offerings, including cloud-enabled, AI-enabled, and software solutions.</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A growing part of our business involves cloud, edge computing, AI (including generative AI), and software solutions, and we are devoting significant resources to developing and deploying such strategies. Our success with these solutions will depend on the level of adoption of our offerings. We incur costs to develop cloud, edge computing, AI, and software solutions and to build and maintain infrastructure to support cloud and edge computing offerings. Success with these solutions depends on execution in many areas, including:</w:t>
      </w:r>
    </w:p>
    <w:p>
      <w:pPr>
        <w:spacing w:after="0" w:line="73" w:lineRule="exact"/>
        <w:rPr>
          <w:sz w:val="20"/>
          <w:szCs w:val="20"/>
          <w:color w:val="auto"/>
        </w:rPr>
      </w:pPr>
    </w:p>
    <w:p>
      <w:pPr>
        <w:jc w:val="both"/>
        <w:ind w:left="660" w:right="500" w:hanging="328"/>
        <w:spacing w:after="0" w:line="304"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establishing and maintaining the utility, compatibility, and performance of our cloud, edge computing, AI, and software solutions (including the reliability of our third-party software vendors, network, and cloud providers) on a growing array of medical devices, software, and equipment;</w:t>
      </w:r>
    </w:p>
    <w:p>
      <w:pPr>
        <w:spacing w:after="0" w:line="19" w:lineRule="exact"/>
        <w:rPr>
          <w:rFonts w:ascii="Arial" w:cs="Arial" w:eastAsia="Arial" w:hAnsi="Arial"/>
          <w:sz w:val="16"/>
          <w:szCs w:val="16"/>
          <w:color w:val="auto"/>
        </w:rPr>
      </w:pPr>
    </w:p>
    <w:p>
      <w:pPr>
        <w:ind w:left="660" w:right="40" w:hanging="328"/>
        <w:spacing w:after="0" w:line="286"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continuing to enhance the attractiveness of our solutions to our customers in the face of increasing competition from a significant number of existing and new entrants in the market, while meeting reliability and security expectations for these solutions; and</w:t>
      </w:r>
    </w:p>
    <w:p>
      <w:pPr>
        <w:spacing w:after="0" w:line="34" w:lineRule="exact"/>
        <w:rPr>
          <w:rFonts w:ascii="Arial" w:cs="Arial" w:eastAsia="Arial" w:hAnsi="Arial"/>
          <w:sz w:val="16"/>
          <w:szCs w:val="16"/>
          <w:color w:val="auto"/>
        </w:rPr>
      </w:pPr>
    </w:p>
    <w:p>
      <w:pPr>
        <w:ind w:left="660" w:right="20" w:hanging="328"/>
        <w:spacing w:after="0" w:line="304" w:lineRule="auto"/>
        <w:tabs>
          <w:tab w:leader="none" w:pos="6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meeting regulatory requirements for the development, testing, marketing, and implementation of these solutions in a fast-moving space disrupted by changing regulations around data and the need for innovation, including obtaining marketing authorizations when required.</w:t>
      </w:r>
    </w:p>
    <w:p>
      <w:pPr>
        <w:spacing w:after="0" w:line="47"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It is uncertain whether our strategies will attract customers or generate revenue required to succeed in this highly competitive and rapidly changing global market. We commit substantial efforts, funds, and other resources to R&amp;D and IT infrastructure for our digital offerings, and the risk of failure is inherent. Even where our digital offerings satisfy applicable regulations and reimbursement policies, customers may not adopt them due to concerns about the security of personal data or the customers’ absence of digital infrastructure to support and effectively use the offerings, a hesitancy to embrace new technology, or for other reasons. We also may not effectively execute organizational and technical changes to accelerate innovation and execution. In a number of countries, some cloud, edge computing, AI, and software solutions are restricted areas of foreign investment. Collaborating with a domestic, qualified third party will increase costs and may create uncertainties in such jurisdictions. The legality or validity of any collaboration may be challenged or subjected to scrutiny in such jurisdictions and the relevant governmental authorities have broad discretion in addressing such arrangements. Any of these risks could have a material adverse effect on our business, results of operations, cash flows, financial condition, or prospects.</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Cloud, AI, edge computing, and software solutions in healthcare must comply with stringent regulations, including certification requirements, in many of the countries in which our customers are located, particularly in relation to obtaining, using, storing, and transferring personal data. Our software solutions must be compliant with applicable regulations in the country in question before we can launch our offerings. In some jurisdictions, we must obtain marketing authorizations before commercializing software solutions. Such regulatory compliance may take longer or cost more than expected or require that design changes be incorporated into our offerings. In addition, changes to reimbursement policies for digital healthcare offerings could potentially lead to delays and additional expense. The inability of customers to obtain adequate reimbursement from private and governmental third-party payers could adversely affect purchasing decisions and prices and cause our revenue and profitability to suffer.</w:t>
      </w:r>
    </w:p>
    <w:p>
      <w:pPr>
        <w:spacing w:after="0" w:line="7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Additionally, we are making significant investments in AI initiatives and are building AI into many of our digital offerings. We are planning to use AI, including generative AI, throughout our portfolios to build differentiated products and solutions and deploy those solutions through various modalities for our customers, including on the device, via edge computing or data centers, and/or via the cloud. Using AI in this manner presents risks and challenges that could affect its adoption, acceptance, and effectiveness, including flawed AI algorithms; insufficient, overly-broad, or biased datasets; unauthorized use or access to personal data; lack of acceptance from our customers; difficulties in obtaining or maintaining the necessary regulatory approvals or clearances; or failure to deliver positive outcomes. As we seek to build clinical applications that leverage AI models built by third parties, we may have limited rights to access the underlying intellectual property used to create these models, and, if requested, this may limit or impair our ability to independently verify the explainability, transparency, and reliability of the underlying model. The use of AI in healthcare offerings also poses clinical risks resulting from potential misdiagnosis or misinformation provided from AI applications, diminishing critical judgment, or loss of interpersonal care from clinicians. These deficiencies could undermine the decisions, predictions, or analysis AI applications produce, as well as their adoption, subjecting us to competitive harm; legal liability, including under new legislation regulating AI in jurisdictions such as the EU or ongoing evolution in how data protection, privacy, IP, and other laws are interpreted; regulatory actions; and reputational harm. Additionally, our obligations to comply with the evolving legal and regulatory landscape could entail significant costs or limit our ability to incorporate some AI capabilities into our offerings. In addition, some AI scenarios present ethical, privacy, or other social issues, risking reputational harm and/or reduced market demand or acceptance of AI solutions. The safeguards we have designed to promote the ethical implementation of AI may not be sufficient to protect us against negative outcomes. Furthermore, we contract with numerous third parties to offer our digital content to customers as well as to assist with the development of their own software applications and services, and our reliance on access to these third parties’ healthcare digital applications, which may not continue to be available to us on commercially reasonable terms or at all, could impact our ability to offer a wide variety of our own digital offerings at reasonable prices with acceptable usage tools or continue to expand our geographic reach. These risks are amplified by the critical nature of healthcare decisions and the sensitivity of health-related information, and the occurrence of any of the above could have a material adverse effect on our business, results of operations,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b w:val="1"/>
          <w:bCs w:val="1"/>
          <w:i w:val="1"/>
          <w:iCs w:val="1"/>
          <w:color w:val="auto"/>
        </w:rPr>
        <w:t>Our inability to manage our supply chain or obtain supplies of components or raw materials has restricted, and could continue to restrict, the manufacturing of products, cause delays in delivery, or significantly increase our costs, and our use of third parties in various markets and their actions or inactions could affect our business.</w:t>
      </w:r>
    </w:p>
    <w:p>
      <w:pPr>
        <w:spacing w:after="0" w:line="180"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We rely on the timely supply of components, products, services, and solutions from suppliers. If suppliers fail to meet their delivery obligations, raise prices, or cease to supply to us, it may affect our ability to deliver to our customers or significantly increase our costs. If we lose suppliers, if their operations are substantially interrupted, if their prices increase significantly due to inflationary pressures, or if any of them fail to meet performance or quality specifications, we may be required to identify and qualify one or more replacement suppliers. This also may require us to redesign or modify our products to incorporate new components and obtain regulatory authorization, qualification, or certification of these redesigned or modified products, which could increase our costs, cause material delays, or otherwise adversely affect our business. Further, we have multiple single-source or sole-source suppliers with no alternatives yet identified. Our dependence on such single- or sole-source suppliers subjects us to the risk of possible shortages, interruptions, and price fluctuations. Disruptions or loss of any of our single- or sole-source suppliers, or capacity limitations of these suppliers, could increase our costs, curtail growth opportunities, cause material delays, and adversely impact our business, financial results, and customer relationships.</w:t>
      </w:r>
    </w:p>
    <w:p>
      <w:pPr>
        <w:spacing w:after="0" w:line="204"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Supply chain interruptions or price increases in certain key countries, such as China, India, Russia, and Israel, have had, and could continue to have, a similar adverse effect on our business. The costs of certain raw materials, logistics, and services necessary for the production and distribution of our products are subject to fluctuation based on many factors beyond our control, including, but not limited to, changes in general economic conditions, labor costs, transportation costs, and currency exchange rates.</w:t>
      </w:r>
    </w:p>
    <w:p>
      <w:pPr>
        <w:spacing w:after="0" w:line="21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We rely upon supplies of certain raw materials, including helium, iodine, and rare earth minerals. Worldwide demand, availability, export restrictions, and pricing of these raw materials have been volatile, and we expect that to continue in the future. For example, in 2025, China significantly tightened its export controls on rare earth minerals. Some, but not all, of these restrictions were temporarily suspended after trade negotiations with the U.S. in October 2025. If supply of these materials is further restricted or if prices increase, this could constrain our manufacturing of affected products, reduce our profit margins, or otherwise adversely affect our business, results of operations, cash flows, and financial condition.</w:t>
      </w:r>
    </w:p>
    <w:p>
      <w:pPr>
        <w:spacing w:after="0" w:line="218"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We have replaced certain internal capabilities with outsourced products, services, or solutions. These processes may result in increased dependency on external suppliers and other third parties. For example, we rely on contract manufacturing organizations to produce certain of our molecular imaging pharmaceutical products. Failure by third-party suppliers to maintain sufficient manufacturing capacity for our products could create shortages or delay fulfilling orders. Failure of third-party suppliers to establish and comply with required quality management systems or comply with applicable legal and regulatory requirements may also lead to withdrawals of our certifications or authorizations required for market access in certain jurisdictions. Such supplier failures may prevent us from meeting customer requirements in a timely manner, which could result in damages or other claims, order cancellations, loss of market share, and damage to our reputation. Shortages or delays could adversely affect our business. A general shortage of materials or components also poses the risk of unforeseeable fluctuations in prices and demand. Any of the above factors could have a material adverse effect on our business results, cash flows, financial condition, or prospects.</w:t>
      </w:r>
    </w:p>
    <w:p>
      <w:pPr>
        <w:spacing w:after="0" w:line="218"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Additionally, the implementation of localization requirements and other government policies driven by support of local industry, and increasing attention to sustainability matters, including EH&amp;S matters, may impose additional costs and requirements on our business, such as the need to qualify new local suppliers or comply with new material reporting requirements, which could negatively affect our ability to compete in certain markets.</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business dealings also involve other third parties such as distributors, dealers, wholesalers, packagers, resellers, agents, collaboration partners, sub-contractors, and others. We rely on third-party transport and warehouse management services for reliable and secure point-to-point transportation of our products to our customers and patients, tracking of these shipments, and warehousing of our products. If any of these third parties were to encounter delivery performance issues or other disruptions leading to the loss, damage, or destruction of our products, it would be costly to replace these products in a timely manner. This may damage our reputation and result in decreased demand for our products. In turn, these third parties may use sub-parties. Such dealings expose us to known and unknown risks, including risks related to economic, political, and regulatory environments; performance and quality control; business continuity in the event of termination or other events; conflicts of interest; cybersecurity events; and violations of regulations and laws, including anti-corruption laws, by these third parties or their sub-parties. We cannot control the day-to-day practices of these third parties and cannot guarantee they will comply with our quality standards, contractual requirements, applicable law, and company policies regarding compliance with regulatory and legal requirements. If these third parties do not follow our standards or violate local laws and regulations, we could suffer commercial, financial, or reputational harm, which could jeopardize our ability to continue doing business in these markets or cause our relationships to deteriorate.</w:t>
      </w:r>
    </w:p>
    <w:p>
      <w:pPr>
        <w:spacing w:after="0" w:line="222"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color w:val="auto"/>
        </w:rPr>
        <w:t>The risks of disruption described above, as well as the risks arising from war, geopolitical conflicts, government sanctions or trade controls, imposition of tariffs, natural disasters, climate change-related physical and transitional risks, actual or threatened public health crises, epidemics, and pandemics, cybersecurity incidents or other disruptions impacting information technology systems, or other business continuity events, could adversely affect our operations and our suppliers’ ability to deliver, and limit our ability to meet our commitments to customers or significantly impact our financial results and condition. We cannot guarantee that the mitigation strategies we employ will be successful or that we will be able to alter our strategies or develop new strategies if and as needed.</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520"/>
        <w:spacing w:after="0" w:line="294" w:lineRule="auto"/>
        <w:rPr>
          <w:sz w:val="20"/>
          <w:szCs w:val="20"/>
          <w:color w:val="auto"/>
        </w:rPr>
      </w:pPr>
      <w:r>
        <w:rPr>
          <w:rFonts w:ascii="Arial" w:cs="Arial" w:eastAsia="Arial" w:hAnsi="Arial"/>
          <w:sz w:val="16"/>
          <w:szCs w:val="16"/>
          <w:b w:val="1"/>
          <w:bCs w:val="1"/>
          <w:i w:val="1"/>
          <w:iCs w:val="1"/>
          <w:color w:val="auto"/>
        </w:rPr>
        <w:t>Any interruption in the operations of our facilities, or our suppliers’, customers’, or third-party providers’ facilities, may impair our ability to deliver products or provide services.</w:t>
      </w:r>
    </w:p>
    <w:p>
      <w:pPr>
        <w:spacing w:after="0" w:line="18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are dependent on our global production and operating network to develop, manufacture, assemble, supply, transport, ship, warehouse, and service our offerings. A work stoppage, labor shortage, or other production limitation, including import or export restrictions and transportation issues, among others, could occur at our facilities, facilities of suppliers or other third parties on which we rely, or customer facilities, and could negatively impact our reputation and market position. Such interruptions may occur for several reasons, including as a result of regulatory enforcement actions, tight credit markets or other financial distress, changes in global trade policies, production constraints or difficulties, unscheduled downtimes, war, severe weather and natural disasters, fires and explosions, accidents, mechanical failures, pandemics, civil unrest, strikes, unpermitted releases of toxic or hazardous substances, other EH&amp;S risks, sabotage, cybersecurity attacks, riots, or terrorist attacks.</w:t>
      </w:r>
    </w:p>
    <w:p>
      <w:pPr>
        <w:spacing w:after="0" w:line="217" w:lineRule="exact"/>
        <w:rPr>
          <w:sz w:val="20"/>
          <w:szCs w:val="20"/>
          <w:color w:val="auto"/>
        </w:rPr>
      </w:pPr>
    </w:p>
    <w:p>
      <w:pPr>
        <w:jc w:val="both"/>
        <w:ind w:right="120"/>
        <w:spacing w:after="0" w:line="257" w:lineRule="auto"/>
        <w:rPr>
          <w:sz w:val="20"/>
          <w:szCs w:val="20"/>
          <w:color w:val="auto"/>
        </w:rPr>
      </w:pPr>
      <w:r>
        <w:rPr>
          <w:rFonts w:ascii="Arial" w:cs="Arial" w:eastAsia="Arial" w:hAnsi="Arial"/>
          <w:sz w:val="16"/>
          <w:szCs w:val="16"/>
          <w:color w:val="auto"/>
        </w:rPr>
        <w:t>Any significant event affecting one of our production or operating facilities may result in a disruption to our ability to supply customers, and standby capacity necessary for the reliable operation of the facility may not be sufficiently available. The impact of these risks is heightened if our production capacity is at or near full utilization (or if we lack alternative manufacturing sites) and could result in our inability to accept orders or deliver products in a timely manner.</w:t>
      </w:r>
    </w:p>
    <w:p>
      <w:pPr>
        <w:spacing w:after="0" w:line="2" w:lineRule="exact"/>
        <w:rPr>
          <w:sz w:val="20"/>
          <w:szCs w:val="20"/>
          <w:color w:val="auto"/>
        </w:rPr>
      </w:pPr>
    </w:p>
    <w:p>
      <w:pPr>
        <w:ind w:right="300"/>
        <w:spacing w:after="0" w:line="267" w:lineRule="auto"/>
        <w:rPr>
          <w:sz w:val="20"/>
          <w:szCs w:val="20"/>
          <w:color w:val="auto"/>
        </w:rPr>
      </w:pPr>
      <w:r>
        <w:rPr>
          <w:rFonts w:ascii="Arial" w:cs="Arial" w:eastAsia="Arial" w:hAnsi="Arial"/>
          <w:sz w:val="16"/>
          <w:szCs w:val="16"/>
          <w:color w:val="auto"/>
        </w:rPr>
        <w:t>Additionally, significant capital investment to increase manufacturing capacity may be required to expand our business or meet increased demand for our products in the future. Any of these risks could have a material adverse effect on our business, results of operations, cash flows, financial condition, or prospects.</w:t>
      </w:r>
    </w:p>
    <w:p>
      <w:pPr>
        <w:spacing w:after="0" w:line="199" w:lineRule="exact"/>
        <w:rPr>
          <w:sz w:val="20"/>
          <w:szCs w:val="20"/>
          <w:color w:val="auto"/>
        </w:rPr>
      </w:pPr>
    </w:p>
    <w:p>
      <w:pPr>
        <w:ind w:right="440"/>
        <w:spacing w:after="0" w:line="294" w:lineRule="auto"/>
        <w:rPr>
          <w:sz w:val="20"/>
          <w:szCs w:val="20"/>
          <w:color w:val="auto"/>
        </w:rPr>
      </w:pPr>
      <w:r>
        <w:rPr>
          <w:rFonts w:ascii="Arial" w:cs="Arial" w:eastAsia="Arial" w:hAnsi="Arial"/>
          <w:sz w:val="16"/>
          <w:szCs w:val="16"/>
          <w:b w:val="1"/>
          <w:bCs w:val="1"/>
          <w:i w:val="1"/>
          <w:iCs w:val="1"/>
          <w:color w:val="auto"/>
        </w:rPr>
        <w:t>Increased cybersecurity requirements, vulnerabilities, threats, and more sophisticated and targeted cybercrimes pose a risk to our systems, networks, products, solutions, services, and data, as well as our reputation, which could adversely affect our business.</w:t>
      </w:r>
    </w:p>
    <w:p>
      <w:pPr>
        <w:spacing w:after="0" w:line="18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manufacture and sell products that rely upon software and computer systems to operate properly and process and store confidential information. Our products are often connected to, and reside within, our customers’ IT infrastructures, including their on-premise and cloud infrastructures. In some jurisdictions, we are expected to design our products to include appropriate cybersecurity protections, and regulatory authorities may review such protections when granting marketing authorizations.</w:t>
      </w:r>
    </w:p>
    <w:p>
      <w:pPr>
        <w:spacing w:after="0" w:line="20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While we seek to protect our products and IT systems from unauthorized access, these measures may not be effective, particularly because techniques used to obtain unauthorized access or to sabotage systems change frequently, have increased in sophistication (including through the use of AI), and often are not identified at the time that they are launched against a target. These risks apply to our installed base of products, products we currently sell, new products we will introduce in the future, and older technology that we no longer sell or service but remains in use by customers. Additionally, we offer software, cloud, and edge computing products that are developed, controlled, or hosted by third-party providers. A cybersecurity breach of or other disruption to our systems or products, service providers’ network security and systems, or other third-party services could disrupt treatment being delivered to patients or interfere with our customers’ operations, and could lead to the loss of, damage to, or public disclosure of our employees’ and customers’ stored information, including personal data, such as individually identifiable health information (including “protected health information”). Such an event could have serious negative consequences, including alleged customer or patient harm, obligations to notify enforcement authorities or users of our products, voluntary or forced recalls of or modifications to our products, regulatory actions, fines, penalties and damages, reduced demand for or use of our offerings by customers, harm to our reputation, and time-consuming and expensive litigation, any of which could have a material adverse effect on our business, results of operations, cash flows, financial condition, or prospects.</w:t>
      </w:r>
    </w:p>
    <w:p>
      <w:pPr>
        <w:spacing w:after="0" w:line="205"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There are increasingly large volumes of information, including patient data, being generated that need to be securely processed and stored by healthcare organizations. Our IT systems have been subject to computer malware, unauthorized access, and other cyber-attacks. There has been an increase in the frequency and sophistication of the cybersecurity threats we and our service providers face, including through the use of AI by adversaries, and we expect these activities to continue to increase. Geopolitical tensions or conflicts, such as the conflict between Russia and Ukraine, and the increased adoption of AI technologies, may further heighten the risk of cyber-attacks. Additionally, leveraging AI capabilities to potentially improve internal functions and operations presents further risks and challenges, including the possibility of creating new attack methods for adversaries. The use of AI to support business operations carries inherent risks related to data privacy, IP, and security, such as intended, unintended, or inadvertent transmission of proprietary, confidential, or sensitive information, as well as challenges related to implementing and maintaining AI tools, such as developing and maintaining appropriate datasets for such support. If we fail to implement adequate safeguards, the use of AI may introduce additional operational, legal, or regulatory vulnerabilities such as producing inaccurate outcomes based on flaws in the underlying data or methodologies, or unintended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Furthermore, we may also be exposed to a more significant risk if such actions are taken by state or state-affiliated actors. The objectives of these cyber-attacks vary widely and may include, among other things, unauthorized access to personal, customer, or third-party information, disruptions in operations and the provision of services to customers, or theft of IP or other sensitive assets or information belonging to us, our business partners, or customers. As such attacks become more effective, the risks in this area continue to grow. The back-up systems we or our customers have in place may not be adequate in the event of a failure or interruption. We may not have current capabilities to identify all vulnerabilities, which may allow others to exploit persistent potential exposures within our IT systems and products. We could suffer significant business disruption, including transaction errors, supply chain or manufacturing interruptions, processing inefficiencies, data loss, loss of customers, reputational damage, the loss of or damage to IP or other proprietary information, litigation, investigations, and possible liability to employees, customers, suppliers, patients, and regulatory authorities as a result of a successful cyber-attack or other disruption impacting our IT systems. Further, our ability to effectively plan, forecast, and execute our business plan and comply with applicable laws and regulations may be impaired by such cyber-attacks or disruptions. Any of the above could have a material adverse effect on our business, results of operations, cash flows, financial condition, or prospects, and on the timeliness of reporting our operating results.</w:t>
      </w:r>
    </w:p>
    <w:p>
      <w:pPr>
        <w:spacing w:after="0" w:line="20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We rely on software, SaaS, hardware, and other material components from a number of third parties to manufacture our products or otherwise operate our business. If a material cyber incident or other disruption impacting a supplier were to result in its prolonged inability to use, manufacture, and/or ship such components, this could impact our ability to manufacture and/or use our products. In addition, third-party sourced software components, malicious code, or a critical vulnerability or error emerging within such software could expose our customers to increased cyber risk. Efforts we have undertaken to mitigate such risks may not prevent all incidents.</w:t>
      </w:r>
    </w:p>
    <w:p>
      <w:pPr>
        <w:spacing w:after="0" w:line="19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If we were to experience a significant cybersecurity breach or other disruption impacting our information systems or data, the costs associated with the investigation, remediation, and potential notification of the incident to customers, regulators, and counterparties, as well as any related litigation expenses, fines, penalties, or damages, could be material. In addition, our remediation efforts may not be successful. The data privacy and IT security insurance coverage we currently maintain may be inadequate. In addition, the market for such insurance continues to evolve and, in the future, our data privacy and IT security insurance coverage may be prohibitively expensive or not available on acceptable terms or in sufficient amounts, or at all.</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obtain, maintain, protect, or effectively enforce our IP rights.</w:t>
      </w:r>
    </w:p>
    <w:p>
      <w:pPr>
        <w:spacing w:after="0" w:line="260"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We place considerable emphasis on obtaining, maintaining, and using our IP to support our business strategy. We pursue IP protection in key jurisdictions to protect our R&amp;D investment and limit the risk of infringing third-party IP rights. However, we cannot ensure that our means of obtaining, maintaining, and enforcing our IP rights will be adequate to maintain a competitive advantage.</w:t>
      </w:r>
    </w:p>
    <w:p>
      <w:pPr>
        <w:spacing w:after="0" w:line="212"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laws of many jurisdictions may not protect our IP rights or provide an adequate forum to effectively address situations where our IP rights have been compromised. Furthermore, protecting against the unauthorized use of proprietary technology may be difficult, expensive, and drawn out. We may need to litigate with third parties to enforce or defend patents issued to us or to determine the enforceability and validity of our proprietary rights or those of others. Determining whether an offering infringes, misappropriates, or otherwise violates a third party’s IP rights involves complex legal and factual issues, and the outcome of this type of litigation is often uncertain and inconsistent. This is true for our major markets, including China, as well as developing markets with less developed IP systems. An adverse determination in any such litigation, or significant delays in obtaining effective relief, could materially impair our IP rights and may harm our business.</w:t>
      </w:r>
    </w:p>
    <w:p>
      <w:pPr>
        <w:spacing w:after="0" w:line="217"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From time to time, we receive notices from third parties asserting infringement, misappropriation, or violation of their IP rights. We are also subject to lawsuits alleging infringement, misappropriation, or other violation of third-party IP rights. When such claims are asserted against us (or to avoid such claims), we may seek to license the third party’s IP rights, which may be costly. We may be unable to obtain necessary licenses on satisfactory terms, if at all. If we are unable to obtain an adequate license, we may be subject to lawsuits seeking damages or an injunction against the manufacture, import, marketing, sale, or operation of our offerings or against the operation of our business as presently conducted. We do not maintain insurance for claims or litigation involving the infringement, misappropriation, or other violation of IP rights. Regardless of the merits or outcome, the resolution of any IP dispute could require significant financial and management resources.</w:t>
      </w:r>
    </w:p>
    <w:p>
      <w:pPr>
        <w:spacing w:after="0" w:line="20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Adverse judicial rulings or our entry into any license or settlement agreement in connection with third-party claims could affect our ability to compete and have a material adverse effect on our business results, cash flows, financial condition, or prospects. Our agreements with our customers and other third parties typically include indemnification or other provisions under which we agree to indemnify or otherwise be liable to them for losses suffered or incurred as a result of IP claims. We may not always be successful in limiting our liability with respect to such obligations and could become subject to large indemnity payments or damages claims from contractual breach, which could harm our business results, cash flows, financial condition, or prospects.</w:t>
      </w:r>
    </w:p>
    <w:p>
      <w:pPr>
        <w:spacing w:after="0" w:line="199"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Furthermore, protecting confidential information and trade secrets can be difficult and, even if a successful enforcement action is brought, such action may not be effective in protecting our IP rights. Additionally, the increased sharing of our data with third parties as a result of right-to-repair legislation or EU data legislation laws could increase the risk of loss or damage to our IP. If we cannot adequately obtain, maintain, protect, or enforce our IP rights, our competitors may be able to compete more successfully against us, which could have a material adverse effect on our business results, cash flows, financial condition, or prospects.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may not receive protection for pending or future applications relating to IP rights owned by or licensed to us, and the claims allowed under any issued IP rights may not be sufficiently broad to protect our products, services, solutions, and any associated trademarks. Products sold by our competitors may infringe, misappropriate, or otherwise violate IP rights owned or licensed by us. Any issued IP rights owned by or licensed to us may be challenged, invalidated, held unenforceable, or circumvented in litigation or other proceedings, and these limited IP rights may not provide us with effective competitive advantages. IP rights may also be unavailable, limited, unenforceable, or practically unenforceable in some countries, and some governments may require us to transfer our IP rights to local entities to do business in the jurisdiction, either of which could make it easier for competitors to capture increased market position and compete with us. We may also incur substantial costs to protect ourselves in litigation or other proceedings involving the validity and enforceability of our IP rights. If claims against us are successful, we could lose valuable IP rights. An unfavorable outcome in any such litigation could have a material adverse effect on our business results, cash flows, financial condition, or prospects. We also rely on agreements with certain employees, consultants and other parties to protect, in part, trade secrets and other proprietary rights. We cannot be certain that these agreements will not be breached, that such provisions will be enforceable, that we will have adequate remedies for any breach, that others will not independently develop substantially equivalent proprietary information, or that third parties will not otherwise gain access to our trade secrets or proprietary knowledge.</w:t>
      </w:r>
    </w:p>
    <w:p>
      <w:pPr>
        <w:spacing w:after="0" w:line="223"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We do not own the GE trademark or logo, and we entered into a Trademark License Agreement with GE in connection with the Spin-Off (the “Trademark License Agreement”), pursuant to which GE granted us a license to use specified trademarks, which include the GE Monogram and the “GE HealthCare” word mark for use in connection with certain of our products, services, and solutions, as well as the right to use the GE brand in connection with certain legal entity names within our corporate structure. GE owns and controls the GE brand, and the integrity and strength of the GE brand will depend in large part on the efforts and businesses of GE and other licensees of the GE brand and how the brand is used, promoted, and protected by them, which will be outside of our control. Furthermore, there are certain circumstances under which the Trademark License Agreement may be terminated. Termination of the Trademark License Agreement would eliminate our rights to use the specified trademarks granted to us under this agreement and may result in our having to negotiate a new or reinstated agreement with less favorable terms or cause us to lose our rights under the Trademark License Agreement, which would require us to change our corporate name and undergo significant rebranding efforts. Any rebranding efforts may require significant resources and expenses and may affect our ability to attract and retain customers, all of which could have an adverse effect on our business, results of operations, cash flows, financial condition, or prospects.</w:t>
      </w:r>
    </w:p>
    <w:p>
      <w:pPr>
        <w:spacing w:after="0" w:line="211"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i w:val="1"/>
          <w:iCs w:val="1"/>
          <w:color w:val="auto"/>
        </w:rPr>
        <w:t>If we are unable to attract or retain key talent and qualified employees or maintain relations with our employees, unions, and other employee representatives, it could adversely affect our business.</w:t>
      </w:r>
    </w:p>
    <w:p>
      <w:pPr>
        <w:spacing w:after="0" w:line="182"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There is substantial competition for key talent, senior management, and qualified employees in the healthcare industry, and we may face increased competition for such a highly qualified scientific, technical, clinical, and management workforce in a highly competitive environment. To help attract, retain, and motivate qualified employees in senior roles, we use equity-based awards and performance-based cash incentive awards. Sustained declines in our stock price, or lower stock price performance relative to competitors, can reduce the retention value of our equity-based awards, which can impact the competitiveness of our compensation. There can be no assurance that we will be successful in retaining existing talent or recruiting new talent.</w:t>
      </w:r>
    </w:p>
    <w:p>
      <w:pPr>
        <w:spacing w:after="0" w:line="21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Certain of our employees in the U.S. and elsewhere are covered by collective bargaining agreements. These agreements typically contain provisions regarding the general working conditions of our employees, including provisions that could affect our ability to restructure our operations, close facilities, or reduce our number of employees. We may not be able to extend existing collective bargaining agreements or, upon the expiration of such agreements, negotiate such agreements in a favorable and timely manner or without work stoppages, strikes, or similar actions.</w:t>
      </w:r>
    </w:p>
    <w:p>
      <w:pPr>
        <w:spacing w:after="0" w:line="200"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The loss of one or more key employees; our inability to attract or develop additional qualified employees; any delay in hiring key talent; any deterioration of the relationships with our employees, unions, and other employee representatives; or any material work stoppage, strike, or similar action could have a material adverse effect on our business results, cash flows, financial condition, or prospects. Furthermore, our actions or responses to any such negotiations, labor disputes, work stoppages, or strikes could negatively impact our corporate reputation and have adverse effects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4" w:name="page25"/>
    <w:bookmarkEnd w:id="2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Increasing attention to sustainability matters, including EH&amp;S matters, may impose additional costs on our business and expose us to new risks.</w:t>
      </w:r>
    </w:p>
    <w:p>
      <w:pPr>
        <w:spacing w:after="0" w:line="24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face increasing attention from investors, regulators, customers, and other stakeholders, who may have conflicting views on our positions, performance, and disclosures relating to sustainability-related matters, and we are subject to legal and regulatory requirements relating to such positions, performance, and disclosures. In addition, sustainability-based customer standards and tender requirements or weighting criteria, in particular in the EU, may impact our ability to compete successfully. These requirements continue to broaden and may be conflicting, both in terms of scope and geography, a trend we expect to continue. If we draw scrutiny for the positions we take or do not take on these matters (or for altering any such position) or receive unfavorable ratings from third-party organizations that provide information to investors on sustainability matters, it could be used by investors, lenders, customers, and employees to inform their investment, financing, purchasing, or employment decisions, which could have a negative impact on our business. Additionally, our processes and controls for reporting of sustainability matters may not always conform with evolving and disparate standards for identifying, measuring, and reporting sustainability metrics, and such standards may change over time, which could result in significant revisions to our performance metrics, goals, or reported progress in achieving our goals. Furthermore, a failure to adequately meet regulatory expectations may result in non-compliance, the loss of business and reputational impacts, and our becoming the target of litigation or investigations initiated by government authorities or private actors alleging that our activities related to sustainability matters are anti-competitive, discriminatory, or otherwise unlawful.</w:t>
      </w:r>
    </w:p>
    <w:p>
      <w:pPr>
        <w:spacing w:after="0" w:line="20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have established and publicly announced details of our sustainability program, including goals related to addressing climate change. While these goals reflect our current plans and aspirations, we may need to adjust or revise them in light of changes to the assumptions made at the time they were set or the emergence of risks related to our ability to deliver them. These risks include the availability and cost of low- or non-carbon-based energy sources; the suitability, cost, and availability of materials and technologies; and the possible organic growth of our business.</w:t>
      </w:r>
    </w:p>
    <w:p>
      <w:pPr>
        <w:spacing w:after="0" w:line="21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are also subject to international, national, state, and local laws, regulations, industry and customer standards, and other voluntary commitments related to EH&amp;S matters. These EH&amp;S laws, regulations, standards, and commitments apply to a broad range of activities across our whole product lifecycle, including those related to (1) protection of the environment, protected species, and use of natural resources; (2) occupational health, safety, and well-being;</w:t>
      </w:r>
    </w:p>
    <w:p>
      <w:pPr>
        <w:spacing w:after="0" w:line="1" w:lineRule="exact"/>
        <w:rPr>
          <w:sz w:val="20"/>
          <w:szCs w:val="20"/>
          <w:color w:val="auto"/>
        </w:rPr>
      </w:pPr>
    </w:p>
    <w:p>
      <w:pPr>
        <w:ind w:right="400" w:firstLine="8"/>
        <w:spacing w:after="0" w:line="264" w:lineRule="auto"/>
        <w:tabs>
          <w:tab w:leader="none" w:pos="24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use, handling, management, release, storage, transportation, remediation, and disposal of, and exposure to, hazardous waste, radiochemical materials, and other hazardous or toxic materials; (4) our products, including the use of certain chemicals in our products and production processes; (5) emissions to air, land, and water; and (6) climate change.</w:t>
      </w:r>
    </w:p>
    <w:p>
      <w:pPr>
        <w:spacing w:after="0" w:line="20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requirements we are subject to impose responsibilities on our business, including the obligation to install pollution control technologies and to obtain and maintain various environmental permits, the cost of which may be substantial. They can also impose cleanup liabilities, including with respect to discontinued or predecessor operations or third-party waste disposal sites. In some jurisdictions we are, and may increasingly be, subject to climate change mitigation and adaptation regulation, tax, disclosure, and reporting requirements. If we fail to comply with these requirements, we could be subject to administrative, civil, or criminal fines and penalties; remediation costs; enforcement actions; the suspension or termination of our permits or operations; third-party claims; or other sanctions.</w:t>
      </w:r>
    </w:p>
    <w:p>
      <w:pPr>
        <w:spacing w:after="0" w:line="217"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implementation of new or existing EH&amp;S laws, regulations, and industry and customer standards, and any changes to them, which we cannot predict and which have historically become more stringent over time, could increase our costs and require us to reassess our business priorities. Administrative decisions, legal developments, or other governmental or judicial actions may influence the interpretation or enforcement of EH&amp;S laws, regulations, and industry standards, and may thereby increase compliance or other costs. In addition, EH&amp;S laws, regulations, and standards may also have an adverse impact on our ability to develop our products and to maintain and grow access to certain markets. EH&amp;S laws and regulations enacted worldwide may require us to re-design products or production processes, or to cease using certain substances, leading to detrimental operational impacts and an increase in operating costs. Any of these risks or costs, and our ability to assess, prepare for, and fully comply with future EH&amp;S laws or regulations, could have a material adverse effect on our business results, cash flows, financial condition, or prospects.</w:t>
      </w:r>
    </w:p>
    <w:p>
      <w:pPr>
        <w:spacing w:after="0" w:line="21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products and operations utilizing radioactive materials are subject to varying international, federal, state, and local regulations and must be conducted in accordance with a number of licenses and certifications. The handling and disposal of radioactive materials and wastes may impose significant requirements and costs, including with respect to the decommissioning of facilities handling radioactive materials. Disposal sites for the lawful disposal of materials or wastes associated with our products may be limited or non-existent, may no longer accept these materials in the future, or may accept them on unfavorable terms, which could adversely impact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740"/>
        <w:spacing w:after="0" w:line="294" w:lineRule="auto"/>
        <w:rPr>
          <w:sz w:val="20"/>
          <w:szCs w:val="20"/>
          <w:color w:val="auto"/>
        </w:rPr>
      </w:pPr>
      <w:r>
        <w:rPr>
          <w:rFonts w:ascii="Arial" w:cs="Arial" w:eastAsia="Arial" w:hAnsi="Arial"/>
          <w:sz w:val="16"/>
          <w:szCs w:val="16"/>
          <w:b w:val="1"/>
          <w:bCs w:val="1"/>
          <w:i w:val="1"/>
          <w:iCs w:val="1"/>
          <w:color w:val="auto"/>
        </w:rPr>
        <w:t>Our research and development efforts may not succeed in developing commercially successful products and technologies, which could adversely affect our business.</w:t>
      </w:r>
    </w:p>
    <w:p>
      <w:pPr>
        <w:spacing w:after="0" w:line="18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To remain competitive, we must continue to launch new products, services, and solutions, requiring substantial investment in R&amp;D. If we cannot successfully introduce new offerings that address the needs of our customers, our offerings may become obsolete, and our business results, cash flows, and financial condition could suffer.</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Many of our offerings have lengthy development and commercialization cycles. Promising new products, services, and solutions may fail to reach the market at all or at the right time, or may have only limited commercial success due to reasons including safety or efficacy concerns, failure to achieve positive outcomes, inability to obtain necessary regulatory authorizations, or third-party reimbursement decisions. Additionally, new offerings may be quickly rendered obsolete by changing customer preferences, changing industry standards, or competitors’ innovations or reverse engineering efforts. It is uncertain when or whether our products, services, or solutions currently under development will be launched or will be commercially successful. Any of these developments may have a material adverse effect on our business results, cash flows, financial condition, and prospects.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AND LEGAL RISKS.</w:t>
      </w:r>
    </w:p>
    <w:p>
      <w:pPr>
        <w:spacing w:after="0" w:line="26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The FDA and equivalent global agencies tightly regulate and actively enforce the laws and regulations governing the development, authorization, and commercialization of medical devices and pharmaceutical products.</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We are subject to rigorous regulation governing development, product testing, manufacturing, packaging, labeling, safety, quality, storage, marketing clearance or approval, advertising and promotion, import and export, sales and distribution, performance and effectiveness, and post-market surveillance. The FDA, the various competent authorities of the EU member states or other European countries that enforce the EU’s Medical Device Regulation, the EMA (for pharmaceuticals) in the EU, and the NMPA in China are the regulatory authorities affecting us most prominently with respect to the commercialization of our products, services, and solutions. There are numerous other regulatory schemes at the national and sub-national levels in other countries in which we conduct business. Regulatory premarket clearance, approval, or conformity assessment requirements may affect or delay our ability to market new offerings. The need to comply with regulations is a substantial controlling, operational, and reputational risk. A failure to comply with applicable laws and regulations could result in governmental investigations, fines, and other sanctions, the temporary or permanent shutdown of production facilities, recalls of products, product withdrawals, revocation of marketing authorizations, disqualification from participation in healthcare activities, third-party and purported whistleblower claims, import detentions, and negative publicity, which could have adverse consequences on our business, results of operations, cash flows, financial condition, or prospects.</w:t>
      </w:r>
    </w:p>
    <w:p>
      <w:pPr>
        <w:spacing w:after="0" w:line="22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must conduct clinical trials on humans before we commercialize certain products. Delays and complications in planned clinical trials can result in increased development costs and delays in regulatory authorizations and products reaching the market. These regulations can be burdensome and subject to change, exposing us to the risk of increased costs and business disruption. Changes to current products and labeling may also be subject to vigorous review, and approvals or the time needed to secure approvals are not certain.</w:t>
      </w:r>
    </w:p>
    <w:p>
      <w:pPr>
        <w:spacing w:after="0" w:line="21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are subject to regulations requiring restrictions, certification, and/or licensing of our facilities, and our facilities are subject to periodic inspections by regulatory authorities. Adverse inspection outcomes have in the past, and may in the future, impact our ability to develop, manufacture, market, or distribute certain products.</w:t>
      </w:r>
    </w:p>
    <w:p>
      <w:pPr>
        <w:spacing w:after="0" w:line="191"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also carefully monitor the quality and performance of our products once they are distributed. We may identify problems with product design, manufacturing, labeling, distribution, or other issues that impact the safety, quality, or performance of our products. These types of issues have in the past, and could in the future, create risk to patients, clinicians, or other personnel in contact with our products and lead to product recalls, removals, replacement, servicing, or other corrective actions. This can also create risk of enforcement action by regulatory authorities, increased product liability risk, and civil or criminal claims.</w:t>
      </w:r>
    </w:p>
    <w:p>
      <w:pPr>
        <w:spacing w:after="0" w:line="199"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Regulatory scrutiny may increase in the future and could require us to change the way we operate, including the way in which we offer certain services. Regulations pertaining to our products are increasing and becoming more stringent in already regulated countries, and countries that did not previously regulate medical products are developing and implementing regulations for these products. These laws and regulations vary by jurisdiction, are complex, change frequently, and are subject to changes in interpretation and enforcement. Moreover, certain fields, such as cloud and edge computing, clinical decision support software, cybersecurity, mobile medical applications, AI, and machine learning are rapidly evolving within the industry and particularly subject to changing law and regulation. New or changing regulations can delay or otherwise adversely impact our ability to bring certain products to market.</w:t>
      </w:r>
    </w:p>
    <w:p>
      <w:pPr>
        <w:spacing w:after="0" w:line="217"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Regulatory authorities in many countries regulate the advertising and promotion of our offerings to ensure that our claims are consistent with our regulatory clearances and approvals, that there is data to substantiate the claims, and that our materials are not false or misleading. If we or any of our suppliers, channel partners, or agents fail to comply with laws and regulations related to promotional labeling and advertising and are perceived to potentially be false, misleading, or otherwise not permissible, we may face legal or regulatory actions.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Additionally, if a regulatory authority concludes that we are not in compliance with applicable laws or regulations or that our products pose an unreasonable risk for patients, users, or others, regulatory authorities may refuse to accept or authorize regulatory filings; ban such offerings; detain or seize unadulterated or misbranded products; order a recall, repair, replacement, or refund of such products; or require us to notify healthcare professionals and others that the offerings present unreasonable risks of substantial harm to public health. A regulatory authority may impose operating restrictions or enjoin certain violations of applicable law pertaining to medical devices or pharmaceutical products and assess civil or criminal penalties against us. The regulatory authority may also recommend prosecution by law enforcement agencies. Any new legislation or regulation or any changes in the interpretation or enforcement of existing legislation or regulation may impose significant and costly new obligations on us, which may interrupt our supply of products, delay launch of new offerings, or negatively affect our cost of doing business. Given the foregoing, future costs and liabilities relating to compliance with applicable laws and regulations could have a material adverse effect on our business results, cash flows, financial condition, or prospects.</w:t>
      </w:r>
    </w:p>
    <w:p>
      <w:pPr>
        <w:spacing w:after="0" w:line="139"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The failure to comply with the FCPA and similar anti-corruption and anti-bribery laws globally has resulted in, and could continue to result in, civil or criminal sanctions and adversely affect our business.</w:t>
      </w:r>
    </w:p>
    <w:p>
      <w:pPr>
        <w:spacing w:after="0" w:line="60"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Foreign Corrupt Practices Act ("FCPA"), the U.K. Bribery Act of 2010 (“UKBA”), and similar anti-corruption and anti-bribery laws in other jurisdictions generally prohibit companies from offering and making corrupt payments to or otherwise engaging in bribery of government officials. We operate in many parts of the world that have experienced elevated levels of public sector corruption. Because of the predominance of government-sponsored healthcare systems around the world, many of our customer relationships outside of the U.S. are with governmental entities, the employees of which may be considered government officials under such laws. Many anti-corruption laws, such as the UKBA, also prohibit bribery of private sector individuals, and thus extend far beyond interactions with government officials. We also are subject to the accounting provisions of the FCPA, which require us to keep accurate books and records and to maintain an adequate system of internal accounting controls sufficient to provide reasonable assurances of management’s control, authority, and responsibility over our assets. Non-U.S. companies, including some of our competitors, may not be subject to the provisions of the FCPA. If these competitors engage in corrupt practices, they may gain a business advantage.</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Global enforcement of anti-corruption laws has increased substantially in recent years, with more frequent voluntary self-disclosure by companies, aggressive investigations (including coordinated investigations across countries and governmental authorities) and enforcement proceedings by U.S. and non-U.S. governmental agencies, and assessment of significant civil and criminal fines, penalties, and other sanctions against companies and individuals. Companies in the healthcare sector have been a particular focus of government enforcement in recent years. We also face the risk of unauthorized payments, offers of payments, or requests for payments being made by our employees, intermediaries, third parties and their sub-parties, customers or customer representatives, consultants, or other representatives. We may face liability under anti-corruption laws based upon the actions or inactions of these parties even when they are not subject to our control and/or are not contractually bound to us. We may also face liability from employee misconduct, such as fraud, which cannot always be deterred or prevented. Enforcement of anti-corruption laws in the healthcare industry in recent years has focused on international operations, particularly in countries such as China, Brazil, Mexico, and Russia. China’s anti-corruption agency, the National Supervisory Commission, has the power to investigate government officials and individuals employed by state-owned entities and public institutions and to collect evidence (including from private companies and individuals), seize assets, and recommend cases for prosecution. In prior years, the Chinese judicial branch has publicly disclosed an increasing number of judgments against government officials and others found to have engaged in corruption and other misconduct across many industries; certain of these judgments contain references that identify some of our products, employees, and channel partners. We review these judgments and other concerns we identify and conduct internal inquiries where appropriate. In 2023, China’s Central Commission for Discipline Inspection, the National Supervisory Commission, and other governmental entities in China initiated an anti-corruption campaign focused on the healthcare sector, which contributed to delayed orders and sales in our China business. The China anti-corruption campaign has resulted and may result in the investigation of and/or judgments against individuals, including our employees, and entities operating in the healthcare sector. Any enforcement proceedings related to this campaign against us or our employees could subject us to civil and criminal fines, penalties, and other sanctions. Additionally, we are also subject to China’s Anti-Unfair Competition Law. Consequences for violations include civil, administrative, and criminal penalties for businesses that commit acts of unfair competition (including commercial bribery).</w:t>
      </w:r>
    </w:p>
    <w:p>
      <w:pPr>
        <w:spacing w:after="0" w:line="100" w:lineRule="exact"/>
        <w:rPr>
          <w:sz w:val="20"/>
          <w:szCs w:val="20"/>
          <w:color w:val="auto"/>
        </w:rPr>
      </w:pPr>
    </w:p>
    <w:p>
      <w:pPr>
        <w:jc w:val="both"/>
        <w:ind w:right="380"/>
        <w:spacing w:after="0" w:line="266" w:lineRule="auto"/>
        <w:rPr>
          <w:sz w:val="20"/>
          <w:szCs w:val="20"/>
          <w:color w:val="auto"/>
        </w:rPr>
      </w:pPr>
      <w:r>
        <w:rPr>
          <w:rFonts w:ascii="Arial" w:cs="Arial" w:eastAsia="Arial" w:hAnsi="Arial"/>
          <w:sz w:val="16"/>
          <w:szCs w:val="16"/>
          <w:color w:val="auto"/>
        </w:rPr>
        <w:t>It is our policy to develop and implement safeguards and to educate our employees and certain third parties concerning these legal requirements and to prohibit improper practices. However, our existing safeguards and any future improvements may not always be effective, and employees or certain third parties may engage in conduct for which we may be held responsible or suffer reputational harm.</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Any alleged or actual violations of these laws or regulations may subject us to government scrutiny; criminal, civil, or administrative sanctions; stockholder lawsuits; reputational damage; and other liabilities. From time to time, we make self-disclosures regarding our compliance with the FCPA and similar laws to relevant authorities who may pursue or decline to pursue enforcement proceedings against us. Any determination that our operations or activities are not in compliance with existing laws or regulations, including applicable foreign laws, could result in the imposition of fines, penalties, disgorgement, equitable relief, or other losses. Furthermore, a violation of certain anti-corruption laws could result in exclusion from government healthcare programs. In addition, governmental entities may seek to hold us liable for violations committed by any companies in which we invest or that we may acquire. The costs associated with the investigation, remediation, and potential notification of any violation to customers, regulators, and counterparties could be material. Any of the foregoing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We are subject to anti-kickback and false claims laws (including as these laws relate to off-label promotion of products) and failure to comply with these laws could adversely affect our business, including via sanctions and conditions on business activity.</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Claims generated as a result of kickbacks may be treated as false or fraudulent. In the U.S., the U.S. False Claims Act (the “FCA”) imposes civil liability on any person or entity that submits, or causes the submission of, a false or fraudulent claim to the U.S. government. The FCA also allows a private individual or entity with knowledge of past or present fraud against the federal government to sue on behalf of the government to recover civil penalties and treble damages. In certain cases, manufacturers have entered criminal and civil settlements with the federal government under which they entered into plea agreements, paid substantial monetary amounts, and entered into corporate integrity agreements that require, among other things, substantial ongoing reporting, monitoring, and other remedial actions. A failure by any of our employees or agents to abide by the policies and procedures we have in place to comply with these laws and regulations could result in potential criminal or civil penalties and damages against us, which may include treble damages, fines, or penalties under the FCA.</w:t>
      </w:r>
    </w:p>
    <w:p>
      <w:pPr>
        <w:spacing w:after="0" w:line="207"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color w:val="auto"/>
        </w:rPr>
        <w:t>If we are not successful in defending ourselves, violations of fraud and abuse laws could have a significant impact on our business, including the potential imposition of civil, criminal, and administrative penalties, damages, disgorgement, monetary fines, individual imprisonment, possible exclusion from participation in certain government healthcare programs, contractual damages, reputational harm, diminished profits and future earnings, and curtailment or restructuring of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antitrust and competition laws that can result in sanctions and conditions on the way we conduct our business.</w:t>
      </w:r>
    </w:p>
    <w:p>
      <w:pPr>
        <w:spacing w:after="0" w:line="260"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are subject to antitrust and competition laws, which generally prohibit certain types of conduct deemed to be anti-competitive, including price fixing, bid rigging, cartel activities, price discrimination, market monopolization, tying arrangements, and other practices that have, or may have, an adverse effect on competition. Regulatory authorities may have authority to impose fines and sanctions or to require changes or impose conditions on the way we conduct business in connection with alleged non-compliance with applicable law. Under certain circumstances, violations of antitrust laws could result in suspension or debarment of our ability to contract with certain parties or complete certain transactions. In addition, an increasing number of jurisdictions also provide private rights of action for competitors or consumers to seek damages asserting claims of anti-competitive conduct. Increased government scrutiny of our actions or enforcement of private rights of action could adversely affect our business or damage our reputation. Conducting internal investigations or responding to audits or investigations by government agencies could be costly and time-consuming. An adverse outcome under any such investigation or audit could subject us to fines or criminal or other penalties, which could have a material adverse effect on our business results, cash flows, financial condition, or prospects.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stringent privacy laws and information security regulations.</w:t>
      </w:r>
    </w:p>
    <w:p>
      <w:pPr>
        <w:spacing w:after="0" w:line="246"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products and systems receive, generate, and store significant volumes of personal and sensitive information, such as employee, supplier, customer, and patient data. Moreover, our digital ecosystem enables our customers to store personal data of their patients in cloud solutions that are hosted by us using third-party cloud providers. There are additional regulations relating to cloud data protection and privacy, which heightens our risks associated with the protection of such information. We have legal and contractual obligations regarding the protection of confidential and personal information and the appropriate collection, use, retention, protection, disclosure, transfer, and other processing of such data. Additionally, regulators within the U.S., EU, and around the world are evaluating or have started to regulate development and use of data generated by connected product or service as well as AI technologies. We are subject to various privacy law regimes in the different jurisdictions in which we operate, including comprehensive regulatory systems in Europe, Latin America, and Asia Pacific and sector-specific requirements. Some international jurisdictions have enacted or are enacting data localization laws mandating that certain types of data collected in a particular jurisdiction be physically stored within that jurisdiction. In addition, U.S. regulators have adopted regulations that prohibit or restrict certain transfers of bulk U.S. sensitive personal data or U.S. government-related data to specified countries of concern or to entities and individuals that reside in or are otherwise associated with a country of concern.</w:t>
      </w:r>
    </w:p>
    <w:p>
      <w:pPr>
        <w:spacing w:after="0" w:line="22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These laws and regulations continue to evolve, and we cannot be sure how these laws and regulations will be interpreted, enforced, or applied to our operations. In addition to the risks associated with enforcement activities and potential contractual liabilities, our ongoing efforts to comply with evolving laws and regulations may be costly and require ongoing modifications to our policies, procedures, and systems. If we, or third parties, fail to adequately safeguard confidential and personal data, or if such information or data are wrongfully used by us or third parties, or disclosed to unauthorized persons or entities, such an event may result in fines, penalties, and harm to our reputation and could have a material adverse effect on our business results, cash flows, financial condition, or prospects. For additional information see “Data and Data Privacy Laws” under Item 1,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660"/>
        <w:spacing w:after="0" w:line="294" w:lineRule="auto"/>
        <w:rPr>
          <w:sz w:val="20"/>
          <w:szCs w:val="20"/>
          <w:color w:val="auto"/>
        </w:rPr>
      </w:pPr>
      <w:r>
        <w:rPr>
          <w:rFonts w:ascii="Arial" w:cs="Arial" w:eastAsia="Arial" w:hAnsi="Arial"/>
          <w:sz w:val="16"/>
          <w:szCs w:val="16"/>
          <w:b w:val="1"/>
          <w:bCs w:val="1"/>
          <w:i w:val="1"/>
          <w:iCs w:val="1"/>
          <w:color w:val="auto"/>
        </w:rPr>
        <w:t>Changes in applicable tax laws and regulations, as well as adverse outcomes of ongoing and future tax audits, could adversely affect our business and our ability to use deferred tax assets.</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are subject to income and other non-income taxes (including sales, excise, and value-added) in multiple jurisdictions. Thus, the tax treatment of transactions we execute is subject to changes in tax laws or regulations, tax treaties, or positions by the relevant authority regarding the application, administration, or interpretation of these tax laws and regulations. These factors, together with the ambiguity of tax laws and regulations, the subjectivity of factual interpretations, and uncertainties regarding the geographic mix of earnings in any period, can affect our estimates of our effective tax rate and income tax assets and liabilities, result in changes in our estimates and accruals, and have a material adverse effect on our business results, cash flows, or financial condition. We are unable to predict what tax reforms may be proposed or enacted in the future or what effect such changes would have on our business; however, such changes could potentially result in higher tax expense and payments, along with increasing the complexity, burden, and cost of compliance.</w:t>
      </w:r>
    </w:p>
    <w:p>
      <w:pPr>
        <w:spacing w:after="0" w:line="217"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We are subject to periodic tax audits by tax authorities and we may have liability in connection with tax audits of GE for periods prior to the Spin-Off. Tax authorities may not agree with our interpretation of applicable tax laws and regulations. As a result, such tax authorities may assess additional tax, interest, and penalties. We regularly assess the likely outcomes of these audits and other tax disputes to determine the appropriateness of our tax provision and establish reserves for material, known tax exposures. However, the calculation of such tax exposures involves the application of complex tax laws and regulations in many jurisdictions. Therefore, there can be no assurance that we will accurately predict the outcomes of any tax audit or other tax dispute or that issues raised by tax authorities will be resolved at a financial cost that does not exceed our related reserves. As such, the actual outcomes of these disputes and other tax audits could have a material impact on our business and financial results.</w:t>
      </w:r>
    </w:p>
    <w:p>
      <w:pPr>
        <w:spacing w:after="0" w:line="217"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Finally, while the majority of our deferred tax assets either do not have an expiration date or are expected to be utilized prior to an expiration date, our ability to fully benefit from these assets could be impacted by the taxable income generated in certain countries over time, subsequent changes to applicable tax laws in these jurisdictions, and our Tax Matters Agreement with GE (see Note 11, “Income Taxes” and Note 19, “Related Parties and Transition Services Agreement”).</w:t>
      </w:r>
    </w:p>
    <w:p>
      <w:pPr>
        <w:spacing w:after="0" w:line="39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b w:val="1"/>
          <w:bCs w:val="1"/>
          <w:i w:val="1"/>
          <w:iCs w:val="1"/>
          <w:color w:val="auto"/>
        </w:rPr>
        <w:t>If the Spin-Off is determined to be a taxable transaction, it could result in significant tax liability to GE and its stockholders and we could have an indemnification obligation to GE, which could adversely affect our business, financial condition, cash flows, and results of operations.</w:t>
      </w:r>
    </w:p>
    <w:p>
      <w:pPr>
        <w:spacing w:after="0" w:line="18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Prior to the completion of the Spin-Off, GE received (1) a private letter ruling from the Internal Revenue Service (the “IRS”) to the effect that, among other things, the Spin-Off will qualify as a transaction that is tax-free for U.S. federal income tax purposes under Sections 355 and 368(a)(1)(D) of the Internal Revenue Code of 1986, as amended (the “Code”) and (2) written opinions to the effect that the Spin-Off will qualify for non-recognition of gain and loss under Section 355 and related provisions of the Code.</w:t>
      </w:r>
    </w:p>
    <w:p>
      <w:pPr>
        <w:spacing w:after="0" w:line="21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opinions do not address any U.S. state or local or foreign tax consequences of the Spin-Off. In addition, the opinions and the private letter ruling rely on certain facts, assumptions, representations, and undertakings from GE and us regarding the past and future conduct of the companies’ respective businesses and other matters. If any of these facts, assumptions, representations, or undertakings are incorrect or not otherwise satisfied, GE and its stockholders may not be able to rely on the opinions or the private letter ruling and could be subject to significant tax liabilities. The opinions are not binding on the IRS or the courts, and there can be no assurance that the IRS or a court will not take a contrary position. Notwithstanding the opinions or the private letter ruling, the IRS could determine on audit that the Spin-Off or any of certain related transactions is taxable if it determines that any of these facts, assumptions, representations, or undertakings are not correct or have been violated, or if it disagrees with the conclusions in the opinions that are not covered by the private letter ruling, or for other reasons, including as a result of certain significant changes in the stock ownership of GE or us after the Spin-Off. If the conclusions expressed in the opinions are challenged by the IRS, and if the IRS prevails in such challenge, the tax consequences of the Spin-Off (including the tax consequences to GE and the U.S. Holders (as defined in the Code)) could be materially less favorable.</w:t>
      </w:r>
    </w:p>
    <w:p>
      <w:pPr>
        <w:spacing w:after="0" w:line="224"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If, as a result of any of our representations being untrue or our covenants being breached, the Spin-Off were determined not to qualify for non-recognition of gain or loss under Section 355 and related provisions of the Code, we could be required by our Tax Matters Agreement with GE to indemnify GE for the resulting taxes and related expenses. Those amounts could be material and any such obligation could adversely affect our business, financial condition, cash flows,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b w:val="1"/>
          <w:bCs w:val="1"/>
          <w:i w:val="1"/>
          <w:iCs w:val="1"/>
          <w:color w:val="auto"/>
        </w:rPr>
        <w:t>We are subject to laws and regulations governing government contracts and public procurement, as well as policies of our customers on capital spending and government reimbursement and funding in many jurisdictions, as to which the failure to comply with or changes to such laws, regulations, or policies could adversely affect our business.</w:t>
      </w:r>
    </w:p>
    <w:p>
      <w:pPr>
        <w:spacing w:after="0" w:line="7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have agreements relating to the sale of our offerings to government entities around the world. Additionally, we are directly or indirectly subject to government policies governing reimbursement for healthcare procedures and services. As a result, we are subject to various statutes and regulations in a variety of jurisdictions that apply to companies doing business with the government. The laws governing government contracts can differ from the laws governing private contracts, and government contracts may contain terms and conditions that are not applicable to private contracts or that expose us to higher levels of risk and potential liability than non-government contracts. Similarly, most jurisdictions have public procurement laws and reimbursement policies that set out rules and regulations for purchases and reimbursements by governmental entities. These jurisdictions may modify their laws, policies, rules, or regulations, or impose new requirements that could adversely affect our business. We are subject to investigation for non-compliance with the regulations governing government contracts, public procurement, and government reimbursements, when involved in such matters. A failure to comply with these regulations could result in suspension of these contracts; delayed or reduced payment; criminal, civil, or administrative penalties; contract termination; reputational harm that diminishes our ability to successfully compete for new government work; or debarment.</w:t>
      </w:r>
    </w:p>
    <w:p>
      <w:pPr>
        <w:spacing w:after="0" w:line="10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Additionally, our customers include hospitals, universities, healthcare providers, government agencies, and public and private research institutions. Many factors, including public policy spending priorities, available resources, and product and economic cycles, have a significant impact on the capital spending policies of these entities. Impasses in national, regional, or local government budgeting decisions, including as a result of U.S. federal government shutdowns, could lead to substantial delays or reductions in governmental spending. Many of our products have lengthy sales and purchase order cycles or are subject to competitive bidding or public tender processes. As a result, customers may delay or accelerate system purchases in conjunction with timing of their capital budget timelines or be unable to complete such purchases at all. Any of these risks could have a material adverse effect on our business results, cash flows, financial condition, or prospects.</w:t>
      </w:r>
    </w:p>
    <w:p>
      <w:pPr>
        <w:spacing w:after="0" w:line="95" w:lineRule="exact"/>
        <w:rPr>
          <w:sz w:val="20"/>
          <w:szCs w:val="20"/>
          <w:color w:val="auto"/>
        </w:rPr>
      </w:pPr>
    </w:p>
    <w:p>
      <w:pPr>
        <w:ind w:right="260"/>
        <w:spacing w:after="0" w:line="263" w:lineRule="auto"/>
        <w:rPr>
          <w:sz w:val="20"/>
          <w:szCs w:val="20"/>
          <w:color w:val="auto"/>
        </w:rPr>
      </w:pPr>
      <w:r>
        <w:rPr>
          <w:rFonts w:ascii="Arial" w:cs="Arial" w:eastAsia="Arial" w:hAnsi="Arial"/>
          <w:sz w:val="16"/>
          <w:szCs w:val="16"/>
          <w:color w:val="auto"/>
        </w:rPr>
        <w:t>For contracts with the U.S. federal government, with certain exceptions, we must comply with the Federal Acquisition Regulation and applicable agency rules, the Procurement Integrity Act, the Buy American Act, and/or the Trade Agreements Act. Because the use of our products, services, and solutions is</w:t>
      </w:r>
    </w:p>
    <w:p>
      <w:pPr>
        <w:ind w:right="160"/>
        <w:spacing w:after="0" w:line="252" w:lineRule="auto"/>
        <w:rPr>
          <w:sz w:val="20"/>
          <w:szCs w:val="20"/>
          <w:color w:val="auto"/>
        </w:rPr>
      </w:pPr>
      <w:r>
        <w:rPr>
          <w:rFonts w:ascii="Arial" w:cs="Arial" w:eastAsia="Arial" w:hAnsi="Arial"/>
          <w:sz w:val="16"/>
          <w:szCs w:val="16"/>
          <w:color w:val="auto"/>
        </w:rPr>
        <w:t>often reimbursed by the U.S. federal government through Medicare and Medicaid, we must comply with the AKS, the Sunshine Act, and the FCA. See “</w:t>
      </w:r>
      <w:r>
        <w:rPr>
          <w:rFonts w:ascii="Arial" w:cs="Arial" w:eastAsia="Arial" w:hAnsi="Arial"/>
          <w:sz w:val="16"/>
          <w:szCs w:val="16"/>
          <w:i w:val="1"/>
          <w:iCs w:val="1"/>
          <w:color w:val="auto"/>
        </w:rPr>
        <w:t>We</w:t>
      </w:r>
      <w:r>
        <w:rPr>
          <w:rFonts w:ascii="Arial" w:cs="Arial" w:eastAsia="Arial" w:hAnsi="Arial"/>
          <w:sz w:val="16"/>
          <w:szCs w:val="16"/>
          <w:color w:val="auto"/>
        </w:rPr>
        <w:t xml:space="preserve"> </w:t>
      </w:r>
      <w:r>
        <w:rPr>
          <w:rFonts w:ascii="Arial" w:cs="Arial" w:eastAsia="Arial" w:hAnsi="Arial"/>
          <w:sz w:val="16"/>
          <w:szCs w:val="16"/>
          <w:i w:val="1"/>
          <w:iCs w:val="1"/>
          <w:color w:val="auto"/>
        </w:rPr>
        <w:t>are subject to anti-kickback and false claims laws (including as these laws relate to off-label promotion of products) and failure to comply with these laws could adversely affect our business, including via sanctions and conditions on business activity.</w:t>
      </w:r>
      <w:r>
        <w:rPr>
          <w:rFonts w:ascii="Arial" w:cs="Arial" w:eastAsia="Arial" w:hAnsi="Arial"/>
          <w:sz w:val="16"/>
          <w:szCs w:val="16"/>
          <w:color w:val="auto"/>
        </w:rPr>
        <w:t>” We must also comply with various other domestic and</w:t>
      </w:r>
    </w:p>
    <w:p>
      <w:pPr>
        <w:spacing w:after="0" w:line="1"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foreign government regulations and requirements as well as various statutes related to employment and labor practices, supply chain requirements, reporting and disclosure obligations, EH&amp;S matters, recordkeeping, and accounting. Certain countries impose additional requirements on government suppliers as a prerequisite to doing business in the country. These can include, among other things, local headcount requirements, local manufacturing and supplier requirements, and technology or IP transfers.</w:t>
      </w:r>
    </w:p>
    <w:p>
      <w:pPr>
        <w:spacing w:after="0" w:line="9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China has a government-run procurement system for public hospitals to obtain medical devices (mainly high-value medical consumables) and drugs. The system for reimbursing the costs of these medical devices and drugs for patients is also set by the central and local governments. Distribution chains of these medical devices and drugs may be restricted in certain provinces by a policy that requires that at most two tax invoices may be issued throughout the distribution chain, which effectively prohibits sale of products through multi-layer distributors (even between wholly-owned subsidiaries). The continued existence, and any expansion and tightening, of this policy could present significant challenges for our relevant products to reach a larger geographic area in China. Failure to comply with this policy may preclude us from participating in the government-run procurement processes with public hospitals or result in our disqualification from engaging in respective medical device or product sales to public hospitals in a certain locality. These regulations and requirements affect how we transact business with our clients and, in some instances, impose additional costs and risks on our business operations for the relevant products.</w:t>
      </w:r>
    </w:p>
    <w:p>
      <w:pPr>
        <w:spacing w:after="0" w:line="29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Additionally, some governmental entities, including the U.S. federal government, can terminate contracts for their convenience or for our default. These governmental entities may also be subject to continued legislative funding approval. Early termination for convenience of one or more of our contracts, or a change in a government customer’s funding levels, including as a result of a U.S. federal government shutdown, could impact our expected revenues. A termination for default of one or more of our contracts could subject us to penalties and damages resulting from the default, including costs for the governmental entity to reprocure the items under contract, in addition to other penalties previously listed. In 2025, the U.S. administration began efforts to reduce federal spending and the size of the federal workforce. These and similar spending reductions could result in contract terminations, delays, and cancellations of new procurements, and reductions in price and contract scope.</w:t>
      </w:r>
    </w:p>
    <w:p>
      <w:pPr>
        <w:spacing w:after="0" w:line="9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U.S. federal government could also invoke the Defense Production Act (“DPA”), requiring that we accept and prioritize contracts for materials deemed necessary for national defense, regardless of loss in revenue incurred on such contracts. In such circumstances, we may be required to reallocate time and resources away from our customers to fulfill U.S. federal government requests under the DPA. This could cause us to be unable to fulfill contractual obligations to non-U.S. federal government customers and harm long-term business relationships with our customers, suppliers, and channel partners, which could adversely affect our business. Additionally, we conduct business in many countries outside of the U.S. and, therefore, could be subject to similar laws and regulations imposed by governments of other countries. These laws or regulations could likewise cause us to be unable to fulfill contractual obligations or require us to reallocate time and resources,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are also subject to government audits, investigations, and oversight proceedings. Efforts to ensure our business arrangements comply with applicable laws involve substantial costs. It is possible that governmental and enforcement authorities will conclude that our business practices do not comply with current or future laws and regulations. If any such actions are instituted against us, defense can be costly and time-consuming, and may require significant financial and personnel resources. If we are not successful in defending ourselves or asserting our rights, those actions could have a significant impact on our business, including the imposition of civil, criminal, and administrative penalties, damages, disgorgement, monetary fines, individual imprisonment, possible exclusion from participation in certain government healthcare programs (including Medicare and Medicaid in the U.S.), contractual damages, reputational harm, diminished profits and future earnings, and curtailment or restructuring of our operations. In addition, any of our government contracts could be terminated or we could be suspended or debarred from all government contract work. In January 2025, an executive order was issued requiring U.S. federal contractors to certify that they do not operate any programs promoting diversity, equity, and inclusion that violate any applicable federal anti-discrimination laws. Additionally, various U.S. federal and state government agencies and departments may initiate legal proceedings asserting our actions or programs violate civil rights laws or other similar federal or state orders, laws, or regulations. A violation of these or similar federal or state orders, laws, or regulations may expose us to penalties and sanctions discussed above and jeopardize our ability to continue to do work with the U.S. federal government and certain state governments, which may adversely affect our future results of operations. We also possess dependencies on governments relative to workforce protocols and customs decisions due to events that are difficult to predict, such as pandemics and regional conflicts. Any of these risks could have a material adverse effect on our business, cash flows, financial condition, results of operations, or prospects.</w:t>
      </w:r>
    </w:p>
    <w:p>
      <w:pPr>
        <w:spacing w:after="0" w:line="217" w:lineRule="exact"/>
        <w:rPr>
          <w:sz w:val="20"/>
          <w:szCs w:val="20"/>
          <w:color w:val="auto"/>
        </w:rPr>
      </w:pPr>
    </w:p>
    <w:p>
      <w:pPr>
        <w:ind w:right="360"/>
        <w:spacing w:after="0" w:line="311" w:lineRule="auto"/>
        <w:rPr>
          <w:sz w:val="20"/>
          <w:szCs w:val="20"/>
          <w:color w:val="auto"/>
        </w:rPr>
      </w:pPr>
      <w:r>
        <w:rPr>
          <w:rFonts w:ascii="Arial" w:cs="Arial" w:eastAsia="Arial" w:hAnsi="Arial"/>
          <w:sz w:val="16"/>
          <w:szCs w:val="16"/>
          <w:b w:val="1"/>
          <w:bCs w:val="1"/>
          <w:i w:val="1"/>
          <w:iCs w:val="1"/>
          <w:color w:val="auto"/>
        </w:rPr>
        <w:t>We are exposed to risks associated with product liability claims that have been and may be brought against us or as a result of the actions or inactions of our customers or third parties that are outside of our control.</w:t>
      </w:r>
    </w:p>
    <w:p>
      <w:pPr>
        <w:spacing w:after="0" w:line="156"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We design, manufacture, sell, install, and service a wide range of technologically-advanced products. Our products are used by healthcare providers to diagnose, monitor, and treat a wide range of medical conditions. We are required to comply with high quality standards and quality management plays an essential role in determining and meeting customer requirements, preventing defects, improving our offerings, and ensuring the safety and efficacy of our products. As a result, our business exposes us to potential product liability claims. We have been, and expect to continue to be, subject to lawsuits from customers and patients alleging that our products contributed to a personal injury, death, incorrect diagnosis, property damage, and/or that we allegedly did not appropriately warn the customer or patient of potential risks associated with the product. Even if these or similar claims are without merit, they can result in costly and time-consuming litigation. We may also be exposed to claims or regulatory action if our products do not conform or are alleged not to conform to applicable product or design specifications, labeling, or manufacturing requirements. Quality issues could result in warranty, guarantee, or other claims, including with respect to performance guarantees under service contracts. Even if such non-conformance has no actual impact on the quality of our products, we may be exposed to claims, regulatory actions, or negative press reports, or may be required to modify our products or their labeling, conduct a recall, or take other actions, any of which could adversely affect our reputation or our relationships with customers and users of our products.</w:t>
      </w:r>
    </w:p>
    <w:p>
      <w:pPr>
        <w:spacing w:after="0" w:line="222"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Because some of our products, including radiopharmaceuticals, are involved in the intentional delivery of radiation to the human body and other situations where people may be exposed to radiation, including X-rays, the possibility for significant bodily injury or death exists for the intended or unintended recipient of the delivery. Our products are used to diagnose and treat acutely ill patients and at critical moments in the patient care continuum, and the failure (or alleged failure) of our products to perform as expected in such moments could compromise patient treatment, which, depending on the circumstances, could be life-threatening to patients.</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Product and other liability actions, claims, or injunctions are subject to significant uncertainty and may be expensive, time-consuming, and disruptive to our operations. For these and other reasons, we may choose to settle product liability claims and other liability actions against us, regardless of their actual merit. If such action or injunction were finally determined adversely to us, it could result in significant damages and reputational harm, including the possibility of punitive damages, and our financial position could be adversely affected. Adverse publicity regarding patient outcomes, accidents, failure rates, misdiagnoses, and resulting mistreatment, even ones that do not involve our products, could result in additional regulation of our products or the healthcare industry in general, cause reputational harm, and adversely affect our ability to promote, manufacture, and sell our products, even if the claims against us are later shown to be unfounded or unsubstantiated.</w:t>
      </w:r>
    </w:p>
    <w:p>
      <w:pPr>
        <w:spacing w:after="0" w:line="217"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color w:val="auto"/>
        </w:rPr>
        <w:t>Moreover, if our products gain a reputation for being unreliable, unsafe, or ineffective, our relationships with governmental authorities may be adversely affected, which could result in increased scrutiny by regulatory authorities. In addition, if one of our products is determined to be defective (whether due to design, labeling, or manufacturing defects, or other reasons), or found to be so by a regulatory authority, we may be liable for damages or fines or be</w:t>
      </w:r>
    </w:p>
    <w:p>
      <w:pPr>
        <w:spacing w:after="0" w:line="2" w:lineRule="exact"/>
        <w:rPr>
          <w:sz w:val="20"/>
          <w:szCs w:val="20"/>
          <w:color w:val="auto"/>
        </w:rPr>
      </w:pPr>
    </w:p>
    <w:p>
      <w:pPr>
        <w:ind w:right="300"/>
        <w:spacing w:after="0" w:line="255" w:lineRule="auto"/>
        <w:rPr>
          <w:sz w:val="20"/>
          <w:szCs w:val="20"/>
          <w:color w:val="auto"/>
        </w:rPr>
      </w:pPr>
      <w:r>
        <w:rPr>
          <w:rFonts w:ascii="Arial" w:cs="Arial" w:eastAsia="Arial" w:hAnsi="Arial"/>
          <w:sz w:val="16"/>
          <w:szCs w:val="16"/>
          <w:color w:val="auto"/>
        </w:rPr>
        <w:t>required to correct, remove, or recall the product or notify competent regulatory authorities. See “</w:t>
      </w:r>
      <w:r>
        <w:rPr>
          <w:rFonts w:ascii="Arial" w:cs="Arial" w:eastAsia="Arial" w:hAnsi="Arial"/>
          <w:sz w:val="16"/>
          <w:szCs w:val="16"/>
          <w:i w:val="1"/>
          <w:iCs w:val="1"/>
          <w:color w:val="auto"/>
        </w:rPr>
        <w:t>The FDA and equivalent global agencies tightly regulate</w:t>
      </w:r>
      <w:r>
        <w:rPr>
          <w:rFonts w:ascii="Arial" w:cs="Arial" w:eastAsia="Arial" w:hAnsi="Arial"/>
          <w:sz w:val="16"/>
          <w:szCs w:val="16"/>
          <w:color w:val="auto"/>
        </w:rPr>
        <w:t xml:space="preserve"> </w:t>
      </w:r>
      <w:r>
        <w:rPr>
          <w:rFonts w:ascii="Arial" w:cs="Arial" w:eastAsia="Arial" w:hAnsi="Arial"/>
          <w:sz w:val="16"/>
          <w:szCs w:val="16"/>
          <w:i w:val="1"/>
          <w:iCs w:val="1"/>
          <w:color w:val="auto"/>
        </w:rPr>
        <w:t>and actively enforce the laws and regulations governing the development, authorization, and commercialization of medical devices and pharmaceutical</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i w:val="1"/>
          <w:iCs w:val="1"/>
          <w:color w:val="auto"/>
        </w:rPr>
        <w:t>products.</w:t>
      </w:r>
      <w:r>
        <w:rPr>
          <w:rFonts w:ascii="Arial" w:cs="Arial" w:eastAsia="Arial" w:hAnsi="Arial"/>
          <w:sz w:val="16"/>
          <w:szCs w:val="16"/>
          <w:color w:val="auto"/>
        </w:rPr>
        <w:t>” The adverse publicity resulting from a recall could damage our reputation and cause customers to review and possibly terminate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relationships with us, potentially beyond the product that was the subject of the action. A correction, removal, or recall could consume management and employee time, and adverse publicity, harm to our reputation, or increased regulatory scrutiny could have a material adverse effect on our business, results of operations,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We maintain product liability insurance coverage, among other liability insurance coverage, which includes deductible amounts and self-insured retentions. Our insurance coverage may prove to be inadequate, and future policies may not be available on acceptable terms or in sufficient amounts, if at all. If a material claim is successfully brought against us relating to a self-insured liability or a liability that is in excess of our insurance coverage, or for which insurance coverage is denied or limited, we could be required to pay substantial damages, which could have a material adverse effect on our business results, financial position, cash flows, or prospects. Any litigation, investigation, or complaint and any adverse publicity surrounding such allegations or actions could have a material adverse effect on our business, results of operations, cash flows, financial condition, or prospects.</w:t>
      </w:r>
    </w:p>
    <w:p>
      <w:pPr>
        <w:spacing w:after="0" w:line="21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Moreover, we may face substantial liability to patients, customers, and others for damages resulting from the faulty, or allegedly faulty, design, manufacture, installation, servicing, support, testing, or interoperability of our products with other products, or their misuse or failure. Our products generally operate within our customers’ facilities and network systems. Human and other errors or accidents may occur during the operation of our products in complex environments, particularly where our products are used in conjunction with products from other vendors, where interoperability or data sharing protocols may result in unsatisfactory performance even though the equipment operates according to specifications. In addition, ISOs could fail to adequately perform their obligations or to properly service our products, which could subject us to further liability. We may also be subject to claims for property damage, economic loss, bodily injury, or death related to or resulting from the installation, servicing, and support of our products. Any accident, mistreatment, or related injury or death could cause us to incur legal costs; subject us to litigation, recall, or regulatory enforcement actions; or generate negative publicity and cause damage to our reputation, whether or not we or our products were at fault, and could have a material adverse effect on our business, results of operations, cash flows, financial condition, or prospects.</w:t>
      </w:r>
    </w:p>
    <w:p>
      <w:pPr>
        <w:spacing w:after="0" w:line="226" w:lineRule="exact"/>
        <w:rPr>
          <w:sz w:val="20"/>
          <w:szCs w:val="20"/>
          <w:color w:val="auto"/>
        </w:rPr>
      </w:pPr>
    </w:p>
    <w:p>
      <w:pPr>
        <w:spacing w:after="0" w:line="294" w:lineRule="auto"/>
        <w:rPr>
          <w:sz w:val="20"/>
          <w:szCs w:val="20"/>
          <w:color w:val="auto"/>
        </w:rPr>
      </w:pPr>
      <w:r>
        <w:rPr>
          <w:rFonts w:ascii="Arial" w:cs="Arial" w:eastAsia="Arial" w:hAnsi="Arial"/>
          <w:sz w:val="16"/>
          <w:szCs w:val="16"/>
          <w:b w:val="1"/>
          <w:bCs w:val="1"/>
          <w:i w:val="1"/>
          <w:iCs w:val="1"/>
          <w:color w:val="auto"/>
        </w:rPr>
        <w:t>We may become involved in litigation, arbitration, and governmental proceedings, including those stemming from third-party conduct beyond our control.</w:t>
      </w:r>
    </w:p>
    <w:p>
      <w:pPr>
        <w:spacing w:after="0" w:line="18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We are involved in, or threatened with, legal, arbitration, and governmental proceedings or investigations from time to time in the ordinary course of our business as well as heightened scrutiny in the healthcare industry, including disputes with employees, competitors, customers, suppliers, channel partners, competition authorities, regulators, other authorities, purported whistle-blowers, regulatory agencies, or others concerning allegations of, among other things, breaches of contract, product liability, product defects, IP infringement, logistics or manufacturing related topics, quality regulations, EH&amp;S or employment issues, termination of business relationship, or alleged or suspected violations of applicable laws in various jurisdictions. The outcome of pending or potential future legal, arbitration, and governmental proceedings is difficult to predict, and excessive verdicts do occur. If such proceedings are determined adversely to us or if we enter into a legal settlement, we may be required to change our business practices or take other actions or we may incur fines, penalties, or monetary losses, some of which may be significant or could disrupt the operation of our business. Exposure to litigation or government action, whether directed at us; our customers, suppliers, or channel partners; or our or their respective business partners, could also result in the distraction of management resources and adversely affect our reputation, which could have a material adverse effect on our business results, cash flows, financial condition, or prospects. Like other companies in our industry, we are subject to investigations and extensive regulation by government agencies around the world. As a result, we have interactions with government agencies on an ongoing basis. Criminal charges and substantial fines or civil penalties, as well as limitations on our ability to conduct business in applicable jurisdictions and other changes to our business practices, could result from government investigations.</w:t>
      </w:r>
    </w:p>
    <w:p>
      <w:pPr>
        <w:spacing w:after="0" w:line="228"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b w:val="1"/>
          <w:bCs w:val="1"/>
          <w:i w:val="1"/>
          <w:iCs w:val="1"/>
          <w:color w:val="auto"/>
        </w:rPr>
        <w:t>Developments following regulatory authorization, including results in post-approval device or pharmaceutical Phase 4 trials or other studies, could adversely affect sales or decrease demand for our medical devices or pharmaceutical products.</w:t>
      </w:r>
    </w:p>
    <w:p>
      <w:pPr>
        <w:spacing w:after="0" w:line="18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As a condition to granting marketing authorization of a medical device or pharmaceutical product, the FDA may require a company to conduct additional clinical trials or surveillance studies. The outcomes of these post-market trials could result in the loss of marketing authorization, changes in product labeling, or new or increased concerns about the safety or efficacy of a product. Regulatory agencies in countries outside of the U.S. often have similar authority and may impose comparable requirements. Post-marketing studies, whether conducted by us or by others, and whether mandated by regulatory agencies or voluntary, and other emerging data about marketed products, such as adverse event reports, may also adversely affect the availability or commercial potential of our products. Further, the discovery of significant problems with a product similar to one of our products that implicate (or are perceived to implicate) an entire class of products could have an adverse effect on the availability or commercial potential of the affected products. Accordingly, new data about our products, or products similar to our products, could negatively impact demand for our products due to real or perceived safety issues or uncertainty regarding efficacy and, in some cases, could result in updated labeling, restrictions on use, product withdrawal, or recall. Any of these risks could have a material adverse effect on our business results, cash flows, financial condition, or prospects.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RISKS.</w:t>
      </w:r>
    </w:p>
    <w:p>
      <w:pPr>
        <w:spacing w:after="0" w:line="250"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Complying with our requirements under our debt instruments could adversely affect our business, results of operations, cash flows, and financial condition.</w:t>
      </w:r>
    </w:p>
    <w:p>
      <w:pPr>
        <w:spacing w:after="0" w:line="15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have $10,003 million of borrowings outstanding as of December 31, 2025, and we may incur additional indebtedness in the future. Our existing debt, together with any additional indebtedness that we may incur, could have important consequences, including, but not limited to, requiring a portion of our cash flow from operations to make principal and interest payments, limiting our flexibility in planning for, or reacting to, changes in our business and industry, and limiting our ability to borrow additional funds as needed to take advantage of business opportunities as they arise, pay cash dividends, or repurchase our common stock.</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debt instruments that comprise our indebtedness contain restrictive covenants that may limit our ability to engage in activities that may be in our long-term best interest. Our failure to comply with those covenants could result in an event of default which, if not cured or waived, could result in the acceleration of substantially all of our debt. To the extent that we incur additional indebtedness, the risks described above could increase.</w:t>
      </w:r>
    </w:p>
    <w:p>
      <w:pPr>
        <w:spacing w:after="0" w:line="19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ability to make payments on and to refinance our indebtedness, as well as any future debt that we may incur, will depend on our ability to generate cash from operations, financings, or asset sales. Our ability to generate cash is subject to general economic, financial, competitive, legislative, regulatory, and other factors that are beyond our control. Additionally, a substantial portion of our total consolidated cash is held overseas and may not be efficiently accessible to fund our debt obligations, which are primarily held in the U.S.</w:t>
      </w:r>
    </w:p>
    <w:p>
      <w:pPr>
        <w:spacing w:after="0" w:line="215"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b w:val="1"/>
          <w:bCs w:val="1"/>
          <w:i w:val="1"/>
          <w:iCs w:val="1"/>
          <w:color w:val="auto"/>
        </w:rPr>
        <w:t>We have significant postretirement benefit liabilities, including pension, healthcare, and life insurance benefit obligations, and the actual costs and related cash flows of these obligations are uncertain and could exceed current estimates.</w:t>
      </w:r>
    </w:p>
    <w:p>
      <w:pPr>
        <w:spacing w:after="0" w:line="182" w:lineRule="exact"/>
        <w:rPr>
          <w:sz w:val="20"/>
          <w:szCs w:val="20"/>
          <w:color w:val="auto"/>
        </w:rPr>
      </w:pPr>
    </w:p>
    <w:p>
      <w:pPr>
        <w:jc w:val="both"/>
        <w:ind w:right="320"/>
        <w:spacing w:after="0" w:line="265" w:lineRule="auto"/>
        <w:rPr>
          <w:sz w:val="20"/>
          <w:szCs w:val="20"/>
          <w:color w:val="auto"/>
        </w:rPr>
      </w:pPr>
      <w:r>
        <w:rPr>
          <w:rFonts w:ascii="Arial" w:cs="Arial" w:eastAsia="Arial" w:hAnsi="Arial"/>
          <w:sz w:val="16"/>
          <w:szCs w:val="16"/>
          <w:color w:val="auto"/>
        </w:rPr>
        <w:t>We have significant postretirement benefit liabilities, including pension, healthcare, and life insurance benefit obligations. These net liabilities arise under multiple retirement benefit plans and statutory obligations in various countries. Most of the liabilities arise under pension plans, including defined benefit pension plans, either funded with plan assets (partially or fully) or unfunded. Increases in pension, healthcare, and life insurance benefit obligations and costs could have a material adverse effect on our earnings, cash flows, and financial condition.</w:t>
      </w:r>
    </w:p>
    <w:p>
      <w:pPr>
        <w:spacing w:after="0" w:line="20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Our results of operations may be positively or negatively affected by the amount of income or expense we record for our defined benefit pension plans. U.S. Generally Accepted Accounting Principles (“U.S. GAAP”) require that we calculate income or expense for the plans using actuarial valuations, which reflect assumptions about financial markets, interest rates, and the expected long-term rate of return on plan assets. We are also required to make an annual measurement of plan assets and liabilities, which may result in a significant reduction or increase in equity. Additionally, many of the factors that impact our pension calculations are subject to financial market volatility, and future changes in the discount rate or shifts in returns on plan assets can adversely impact our financial results and financial condition. Any of these factors could have a material adverse effect on our business, results of operations, cash flows, financial condition, or prospects. Furthermore, accounting standards and legal conditions governing our pension obligations are subject to changes in applicable legislation, regulations, or case law. We cannot provide any assurance that we will not incur new or more extensive pension obligations in the future due to such changes. For a discussion regarding how our financial statements have been and can be affected by our pension and healthcare benefit obligations, see Note 10, “Postretirement Benefit Plans” to the financial statements included elsewhere in this Annual Report on Form 10-K.</w:t>
      </w:r>
    </w:p>
    <w:p>
      <w:pPr>
        <w:spacing w:after="0" w:line="225"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i w:val="1"/>
          <w:iCs w:val="1"/>
          <w:color w:val="auto"/>
        </w:rPr>
        <w:t>Changes in foreign currency exchange rates, equity prices, and interest rates, and unfavorable changes in economic conditions or uncertainties that affect the capital markets, could adversely affect our financial performance.</w:t>
      </w:r>
    </w:p>
    <w:p>
      <w:pPr>
        <w:spacing w:after="0" w:line="154"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generate the majority of our revenue outside of the U.S. Fluctuations in the value of foreign currencies relative to the U.S. dollar (“USD”) could adversely affect our financial results. As of the year ended December 31, 2025, our largest currency exposures are the Euro, Chinese Renminbi, Japanese Yen, Norwegian Krone, and British Pound Sterling. Revenues and expenses of our non-U.S. businesses are translated into USD for financial reporting purposes, and fluctuations in the value of foreign currencies against the USD impact reported earnings. In addition, our assets and liabilities denominated in foreign currencies can also be impacted by changes in foreign currency exchange rates against the USD, which could result in exchange gains or losses from revaluation. We also face foreign exchange rate risk from our investments in subsidiaries owned and operated in foreign countries. Furthermore, foreign exchange hedging activities do not offer permanent or comprehensive protection, appropriate hedging instruments may not always be available or may be prohibitively costly, or we might not be successful in effectively mitigating such exposures.</w:t>
      </w:r>
    </w:p>
    <w:p>
      <w:pPr>
        <w:spacing w:after="0" w:line="219"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Equity prices can be volatile. The prices of our common stock and equity investments have fluctuated and could fluctuate in the future, which could impact the long-term performance of the investments we hold, the value of equity compensation awards we grant, the value of plan assets held in our pension plans, and, as a result, our financial performance.</w:t>
      </w:r>
    </w:p>
    <w:p>
      <w:pPr>
        <w:spacing w:after="0" w:line="191"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are also exposed to volatility due to changes in interest rates, which primarily impacts our borrowings, postretirement assets and liabilities, and investments. Changes in interest rates may impact the fair value of our fixed interest rate borrowings, the cash flows associated with our variable interest rate borrowings, and the valuation of our postretirement assets and liabilities, which may directly or indirectly impact our earnings or our cash flows, and the cash flows associated with our investments. Refer to Part II, Item 7A, “Quantitative and Qualitative Disclosures about Market Risk” for further information.</w:t>
      </w:r>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Additionally, our future capital requirements will depend on many factors, including operating requirements, acquisitions, and the need to refinance existing debt. Our exposure to changes in interest rates and our ability to access the money markets and capital markets on terms that are favorable to us, or at all, could be impeded if market conditions are not favorable. This could impact our ability to issue additional debt or enter into other financing arrangements on acceptable terms. Furthermore, changes in credit ratings issued by nationally recognized credit rating agencies could also adversely affect our access to and cost of financing. Higher borrowing costs or the inability to access capital markets could adversely affect our ability to support future growth and operating requirements. As a result, we may be compelled to take additional measures to preserve our cash flow, including through the reduction of operating expenses or suspension of dividend payments.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material impairments in the value of our long-lived assets, including goodwill, could adversely affect our business.</w:t>
      </w:r>
    </w:p>
    <w:p>
      <w:pPr>
        <w:spacing w:after="0" w:line="26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review our long-lived assets, including identifiable intangible assets, goodwill, and property, plant, and equipment (“PP&amp;E”), for impairment at least annually. All long-lived assets are reviewed when there is an indication that impairment may have occurred. Changes in market conditions or other changes in the outlook of value may lead to impairment charges in the future. In addition, we may sell assets that we determine are not critical to our strategy. Future events or decisions may lead to asset impairments or related charges. Certain non-cash impairments may result from a change in our strategic goals, business direction, or other factors relating to the overall business environment. Material impairment charges could negatively affect our results of operations and financial condition.</w:t>
      </w:r>
    </w:p>
    <w:p>
      <w:pPr>
        <w:spacing w:after="0" w:line="20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i w:val="1"/>
          <w:iCs w:val="1"/>
          <w:color w:val="auto"/>
        </w:rPr>
        <w:t>Certain of our directors and employees may have actual or potential conflicts of interest because of their financial interests in GE or because of their previous or continuing positions with GE.</w:t>
      </w:r>
    </w:p>
    <w:p>
      <w:pPr>
        <w:spacing w:after="0" w:line="156"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Because of their current or former positions with GE, certain of our executive officers and directors own equity interests in both us and GE. Continuing ownership of GE shares and equity awards could create, or appear to create, potential conflicts of interest if we and GE face decisions that could have implications for both us and GE. For example, potential conflicts of interest could arise in connection with the resolution of any dispute between us and GE regarding the terms of the agreements governing the Spin-Off and our relationship with GE. Potential conflicts of interest may also arise out of any commercial arrangements that we or GE may enter into in the future.</w:t>
      </w:r>
    </w:p>
    <w:p>
      <w:pPr>
        <w:spacing w:after="0" w:line="201" w:lineRule="exact"/>
        <w:rPr>
          <w:sz w:val="20"/>
          <w:szCs w:val="20"/>
          <w:color w:val="auto"/>
        </w:rPr>
      </w:pPr>
    </w:p>
    <w:p>
      <w:pPr>
        <w:jc w:val="both"/>
        <w:ind w:right="340"/>
        <w:spacing w:after="0" w:line="279" w:lineRule="auto"/>
        <w:rPr>
          <w:sz w:val="20"/>
          <w:szCs w:val="20"/>
          <w:color w:val="auto"/>
        </w:rPr>
      </w:pPr>
      <w:r>
        <w:rPr>
          <w:rFonts w:ascii="Arial" w:cs="Arial" w:eastAsia="Arial" w:hAnsi="Arial"/>
          <w:sz w:val="16"/>
          <w:szCs w:val="16"/>
          <w:b w:val="1"/>
          <w:bCs w:val="1"/>
          <w:i w:val="1"/>
          <w:iCs w:val="1"/>
          <w:color w:val="auto"/>
        </w:rPr>
        <w:t>Our certificate of incorporation provides that certain state and federal courts in the State of Delaware will be the sole and exclusive forum for substantially all disputes between us and our stockholders, which could limit our stockholders’ ability to obtain a favorable judicial forum for disputes with us or our directors, officers, or employees.</w:t>
      </w:r>
    </w:p>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certificate of incorporation provides that, unless we consent in writing to the selection of an alternative forum, the Court of Chancery located within the State of Delaware will be the sole and exclusive forum for any derivative action or proceeding brought on our behalf; any action asserting a claim of breach of a fiduciary duty owed by any current or former director, officer, employee, agent, or stockholder to us or our stockholders; any action asserting a claim arising pursuant to the Delaware General Corporation Law ("DGCL"), the certificate of incorporation, or the bylaws; or any action asserting a claim governed by the internal affairs doctrine. However, if the Court of Chancery within the State of Delaware lacks jurisdiction over such action, the action may be brought in another court of the State of Delaware or, if no court of the State of Delaware has jurisdiction, then in the United States District Court for the District of Delaware. Additionally, our certificate of incorporation states that the foregoing provision will not apply to claims arising under the Securities Act of 1933, as amended (the “Securities Act”). Unless we consent in writing to the selection of an alternative forum, the federal district courts of the United States of America shall be the exclusive forum for the resolution of any complaint asserting a cause of action arising under the Securities Act. The exclusive forum provisions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provisions will not apply to suits brought to enforce any duty or liability created by the Exchange Act or any other claim for which the federal courts have exclusive jurisdiction. There is, however, uncertainty as to whether a court would enforce the exclusive forum provisions, and investors cannot waive compliance with the federal securities laws and the rules and regulations thereunder. Furthermore, Section 22 of the Securities Act creates concurrent jurisdiction for state and federal courts over all suits brought to enforce any duty or liability created by the Securities Act or the rules and regulations thereunder.</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Any person or entity purchasing or otherwise acquiring any interest in shares of our capital stock will be deemed to have notice of and, to the fullest extent permitted by law, to have consented to the provisions of our certificate of incorporation described above. The choice of forum provision may result in increased costs for investors to bring a claim. Further, the choice of forum provision may limit a stockholder’s ability to bring a claim in a judicial forum that it finds favorable for disputes with us or our directors, officers, other employees, or stockholders, which may discourage such lawsuits against us and our directors, officers, other employees, or stockholders. However, the enforceability of similar forum provisions in other companies’ certificates of incorporation has been challenged in legal proceedings. If a court were to find the exclusive choice of forum provision contained in our certificate of incorporation to be inapplicable or unenforceable in an action, we may incur additional costs associated with resolving such action in other jurisdictions.</w:t>
      </w:r>
    </w:p>
    <w:p>
      <w:pPr>
        <w:spacing w:after="0" w:line="219" w:lineRule="exact"/>
        <w:rPr>
          <w:sz w:val="20"/>
          <w:szCs w:val="20"/>
          <w:color w:val="auto"/>
        </w:rPr>
      </w:pPr>
    </w:p>
    <w:p>
      <w:pPr>
        <w:ind w:right="1020"/>
        <w:spacing w:after="0" w:line="294" w:lineRule="auto"/>
        <w:rPr>
          <w:sz w:val="20"/>
          <w:szCs w:val="20"/>
          <w:color w:val="auto"/>
        </w:rPr>
      </w:pPr>
      <w:r>
        <w:rPr>
          <w:rFonts w:ascii="Arial" w:cs="Arial" w:eastAsia="Arial" w:hAnsi="Arial"/>
          <w:sz w:val="16"/>
          <w:szCs w:val="16"/>
          <w:b w:val="1"/>
          <w:bCs w:val="1"/>
          <w:i w:val="1"/>
          <w:iCs w:val="1"/>
          <w:color w:val="auto"/>
        </w:rPr>
        <w:t>Certain provisions in our certificate of incorporation, bylaws, and Delaware law may discourage takeovers and limit the power of our stockholders.</w:t>
      </w:r>
    </w:p>
    <w:p>
      <w:pPr>
        <w:spacing w:after="0" w:line="182"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Several provisions of our certificate of incorporation, bylaws, and Delaware law may discourage, delay, or prevent a merger or acquisition. These include, among others, provisions that (1) establish advance notice requirements for stockholder nominations and proposals; (2) limit the ability of stockholders to call special meetings or act by written consent; (3) provide the Board the right to issue shares of preferred stock without stockholder approval; and (4) provide for the ability of our directors, and not stockholders, to fill vacancies on the Board (including those resulting from an enlargement of the Board). In addition, we are subject to Section 203 of the DGCL, which could have the effect of delaying or preventing a change of control that stockholders may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These and other provisions of our certificate of incorporation, bylaws, and Delaware law may discourage, delay, or prevent certain types of transactions involving an actual or a threatened acquisition or change in control of GE HealthCare, including unsolicited takeover attempts, even though the transaction may offer our stockholders the opportunity to sell their shares of our common stock at a price above the prevailing market price. These provisions will apply even if the offer may be considered beneficial by some stockholders and could delay or prevent an acquisition that the Board determines is not in our and our stockholders’ best interests.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RISK MANAGEMENT.</w:t>
      </w:r>
    </w:p>
    <w:p>
      <w:pPr>
        <w:spacing w:after="0" w:line="140"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GE HealthCare employs practices, processes, and procedures to proactively and comprehensively manage risks, including risks related to cybersecurity, through its enterprise risk management (“ERM”) program. We aim to identify material cybersecurity risks via multiple strategies, including user and external reporting, audit and assessment activities, and technology programs. We utilize risk identification and risk mitigation strategies.</w:t>
      </w:r>
    </w:p>
    <w:p>
      <w:pPr>
        <w:spacing w:after="0" w:line="43" w:lineRule="exact"/>
        <w:rPr>
          <w:sz w:val="20"/>
          <w:szCs w:val="20"/>
          <w:color w:val="auto"/>
        </w:rPr>
      </w:pPr>
    </w:p>
    <w:p>
      <w:pPr>
        <w:ind w:left="660" w:right="400" w:hanging="328"/>
        <w:spacing w:after="0" w:line="304"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 identification begins with understanding the devices and equipment in use across the company, including laptops, servers, and other data devices, industrial equipment and machinery, and associated risks related to the use of those devices and equipment.</w:t>
      </w:r>
    </w:p>
    <w:p>
      <w:pPr>
        <w:spacing w:after="0" w:line="19" w:lineRule="exact"/>
        <w:rPr>
          <w:rFonts w:ascii="Arial" w:cs="Arial" w:eastAsia="Arial" w:hAnsi="Arial"/>
          <w:sz w:val="16"/>
          <w:szCs w:val="16"/>
          <w:color w:val="auto"/>
        </w:rPr>
      </w:pPr>
    </w:p>
    <w:p>
      <w:pPr>
        <w:ind w:left="660" w:right="100" w:hanging="328"/>
        <w:spacing w:after="0" w:line="265"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Risk mitigation entails protecting our data and operational systems via a system of controls. We monitor and collect data about the devices and users that touch our network resources, reviewing this data for anomalies. When we identify anomalies, we investigate to determine if the anomaly represents a threat. We have a process to contain and remediate identified threats. As discussed further below, we have incident response processes in place to utilize in case of threats or incidents. We conduct regular crisis simulations.</w:t>
      </w:r>
    </w:p>
    <w:p>
      <w:pPr>
        <w:spacing w:after="0" w:line="105"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processes also address cybersecurity threat risks associated with our use of third-party service providers, including those in our supply chain or who have access to our customer and employee data or our systems. Third-party risks are included within our ERM assessment program as well as our cybersecurity-specific risk identification program, as discussed above. In addition, cybersecurity considerations affect the selection and oversight of our third-party service providers. We perform diligence on third parties that have access to our systems, data, or facilities that house such systems or data, and monitor cybersecurity threat risks identified through such diligence.</w:t>
      </w:r>
    </w:p>
    <w:p>
      <w:pPr>
        <w:spacing w:after="0" w:line="110"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have a dedicated team of cyber professionals who report to our Chief Information Security Officer (“CISO”). This team publishes information technology and security policies, measures compliance, trains the workforce on cyber risks and protections, and operates a program to identify and mitigate risks and threats. Our risk mitigation activities include workforce awareness, vulnerability management, network segmentation, cyber protection and containment, detection, response and recovery. This team operates to decrease the risk of cyber incidents having a material impact. We measure our programs against the National Institute of Standards and Technology Cyber Security Framework and regularly test our controls and incident response plans.</w:t>
      </w:r>
    </w:p>
    <w:p>
      <w:pPr>
        <w:spacing w:after="0" w:line="105"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We maintain incident response plans that guide our activities in preparing for, detecting, responding to, and recovering from cybersecurity incidents. These plans cover the range of activities we undertake in connection with responding to cybersecurity incidents, including assessment, investigation, containment, remediation, and mitigation, as well as compliance with legal obligations including any necessary regulatory reporting.</w:t>
      </w:r>
    </w:p>
    <w:p>
      <w:pPr>
        <w:spacing w:after="0" w:line="9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As part of these processes, we regularly engage with assessors, consultants, auditors, and other third parties to review our cybersecurity program to help identify areas for continued focus, improvement, and compliance.</w:t>
      </w:r>
    </w:p>
    <w:p>
      <w:pPr>
        <w:spacing w:after="0" w:line="88" w:lineRule="exact"/>
        <w:rPr>
          <w:sz w:val="20"/>
          <w:szCs w:val="20"/>
          <w:color w:val="auto"/>
        </w:rPr>
      </w:pPr>
    </w:p>
    <w:p>
      <w:pPr>
        <w:jc w:val="both"/>
        <w:ind w:right="80"/>
        <w:spacing w:after="0" w:line="259" w:lineRule="auto"/>
        <w:rPr>
          <w:sz w:val="20"/>
          <w:szCs w:val="20"/>
          <w:color w:val="auto"/>
        </w:rPr>
      </w:pPr>
      <w:r>
        <w:rPr>
          <w:rFonts w:ascii="Arial" w:cs="Arial" w:eastAsia="Arial" w:hAnsi="Arial"/>
          <w:sz w:val="16"/>
          <w:szCs w:val="16"/>
          <w:color w:val="auto"/>
        </w:rPr>
        <w:t xml:space="preserve">To date, the Company is not aware of any cybersecurity incident that has had or is reasonably likely to have a material impact on the Company, including its business strategy, or financial results. However, despite our security measures, there can be no assurance that the Company, or the third parties with which we interact, will not experience a cybersecurity incident in the future that may materially affect us. We describe whether and how cybersecurity-related risks could materially affect our business in Item 1A, “Risk Factors” under the heading </w:t>
      </w:r>
      <w:r>
        <w:rPr>
          <w:rFonts w:ascii="Arial" w:cs="Arial" w:eastAsia="Arial" w:hAnsi="Arial"/>
          <w:sz w:val="16"/>
          <w:szCs w:val="16"/>
          <w:i w:val="1"/>
          <w:iCs w:val="1"/>
          <w:color w:val="auto"/>
        </w:rPr>
        <w:t>“Increased cybersecurity requirements, vulnerabilities, threats, and more</w:t>
      </w:r>
    </w:p>
    <w:p>
      <w:pPr>
        <w:spacing w:after="0" w:line="1"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i w:val="1"/>
          <w:iCs w:val="1"/>
          <w:color w:val="auto"/>
        </w:rPr>
        <w:t>sophisticated and targeted cybercrimes pose a risk to our systems, networks, products, solutions, services, and data, as well as our reputation, which could adversely affect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CYBERSECURITY GOVERNANCE.</w:t>
      </w:r>
    </w:p>
    <w:p>
      <w:pPr>
        <w:spacing w:after="0" w:line="154"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Cybersecurity is an important part of our risk management processes and an area of focus for our Board and management. The Audit Committee of our Board is responsible for the oversight of cybersecurity-related risks. The Audit Committee regularly receives reports from management on our cybersecurity threat risk management and strategy processes, including on topics such as our data security posture, results from third-party assessments, progress towards pre-determined risk-mitigation-related goals, incident response plans, and cybersecurity threat risks or incidents and developments, as well as the steps management has taken to respond to these risks. The Audit Committee received reports from our Chief Information Officer (“CIO”) and/or CISO four times in 2025.</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cybersecurity risk management and strategy processes, which are discussed in greater detail above, are led by our CISO. The CISO works closely with the CIO, Chief Privacy Officer (“CPO”), and other members of the legal team who report to the General Counsel, to review the cybersecurity program while monitoring global data protection regulations and cyber security laws. The CISO, CIO, and CPO, collectively, have over 35 years of work experience in various roles involving managing information security, developing cybersecurity strategy, and implementing effective information and cybersecurity programs. Our CISO is currently a board member for the National Technology Security Coalition, a non-profit, non-partisan trade association serving as the voice of CISOs to help improve national cybersecurity and has served on the board of advisors of many security technology companies.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7"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GE HealthCare is a global organization headquartered in Chicago, Illinois with other major centers in or near the following cities: Milwaukee, Paris, Bangalore, and Shanghai. We own or lease over 300 facilities around the world excluding third-party logistics sites. We have 44 manufacturing facilities, of which 32 are owned. We have 14 manufacturing facilities located in the United States and 30 located outside of the United States, including in China, Japan, Mexico, Norway, India, Israel, Germany, Brazil, Austria, Denmark, France, Ireland, the Netherlands, Sweden, Finland, and South Korea. Many of these facilities serve more than one business line and may be used for multiple purposes, such as administration, sales, research, manufacturing, warehousing, service, and distribution. We consider our facilities suitable and adequate for the purposes for which they are used and do not anticipate difficulty in renewing existing leases as they expire or in finding alternative facilities.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7"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Information on material pending legal proceedings is incorporated herein by reference to the information set forth in Note 14, “Commitments, Guarantees, Product Warranties, and Other Loss Contingencies” to the financial statements included elsewhere in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PRINCIPAL MARKET.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principal market on which GE HealthCare’s common stock is traded is The Nasdaq Stock Market LLC (“Nasdaq”) under the symbol “GEHC”.</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There were 180,363 stockholders of record of GE HealthCare common stock as of January 28, 2026.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We declared a quarterly dividend of $0.035 per share to our stockholders of record for all quarters of 2025. The timing, declaration, amount, and payment of future dividends to stockholders, if any, will fall within the discretion of the Board of Directors taking into consideration matters such as the capital needs of GE HealthCare and opportunities to retain future earnings for use in the operation of our business and to fund future growth.</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On April 30, 2025, our Board of Directors authorized a share repurchase program (the “repurchase program”) pursuant to which GE HealthCare may repurchase up to $1,000 million of its common stock. The repurchase program does not have an expiration date. We did not repurchase any of our common stock during the three months ended December 31, 2025 and had $800 million available under the authorization as of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following graph compares the total return on the Company’s common stock for the last 36 months with the Standard &amp; Poor’s 500 (“S&amp;P 500”) and S&amp;P 500 Healthcare indices. The graph assumes $100 was invested in each of these indices on January 4, 2023, the first day of “regular way” trading for our common stock,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6172200" cy="19716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7220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7" w:name="page38"/>
    <w:bookmarkEnd w:id="3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7"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following discussion and analysis of our financial results should be read in conjunction with the consolidated financial statements and corresponding notes (the “financial statements”) included elsewhere in this Annual Report on Form 10-K. The following discussion and analysis provide information management believes to be relevant to understanding the financial results of GE HealthCare Technologies Inc. and its subsidiaries (“GE HealthCare,” the “Company,” “our,” “us,” or “we”) for the years ended December 31, 2025 and 2024. For additional information on the year ended December 31, 2023 and year-over-year comparisons to December 31, 2024, refer to Management’s Discussion and Analysis of Financial Condition and Results of Operations included in our Annual Report on Form 10-K for the fiscal year ended December 31, 2024. This discussion contains forward-looking statements that are based upon current expectations and are subject to uncertainty and changes in circumstances; see “Forward-Looking Statements.” Our actual results could differ materially from the results contemplated by these forward-looking statements due to a number of factors, including those discussed below and elsewhere in this Annual Report on Form 10-K, and particularly in Item 1A, “Risk Factors.”</w:t>
      </w:r>
    </w:p>
    <w:p>
      <w:pPr>
        <w:spacing w:after="0" w:line="2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GE HealthCare’s operations are organized and managed through four reportable segments: Imaging, Advanced Visualization Solutions (“AVS”), Patient Care Solutions (“PCS”), and Pharmaceutical Diagnostics (“PDx”), and we assessed their performance using Segment revenues and Segment EBIT. For additional information on the nature of our business and our segments, refer to Item 1, “Business” and Note 4, “Segment and Geographical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On January 3, 2023, General Electric Company, which now operates as GE Aerospace (“GE”), completed the spin-off of GE HealthCare Technologies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“Spin-Off”). Refer to Note 19, “Related Parties and Transition Services Agreement” for further information.</w:t>
      </w:r>
    </w:p>
    <w:p>
      <w:pPr>
        <w:spacing w:after="0" w:line="246"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The following tables are presented in millions of United States (“U.S.”) dollars unless otherwise stated, except for per-share amounts which are presented in U.S. dollars. Certain columns and rows may not sum due to the use of rounded numbers. Percentages presented are calculated from the underlying whole-dollar amounts and, unless otherwise stated, represent changes year-over-year.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FACTORS IMPACTING OUR PERFORMANCE</w:t>
      </w:r>
    </w:p>
    <w:p>
      <w:pPr>
        <w:spacing w:after="0" w:line="257"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but also pose risks and challenges, including those discussed below and particularly in Item 1A, “Risk Factors.”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TRENDS AFFECTING RESULTS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Trade and Macroeconomic Environment</w:t>
      </w:r>
    </w:p>
    <w:p>
      <w:pPr>
        <w:spacing w:after="0" w:line="19"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Throughout 2025, the U.S. imposed a variety of new tariffs on most imports from all countries in the world. This in turn prompted several countries to announce tariffs on U.S. imports. While the situation continues to be fluid, tariffs materially impacted our Operating income by approximately $245 million and cash flows by approximately $285 million for the year ended December 31, 2025, primarily the bilateral U.S. and Chinese tariffs and U.S. tariffs on all other global import suppliers. Should the tariffs continue at formally communicated levels, we expect to continue to see a material impact to our financial results. Additional tariffs or other trade restrictions by the U.S. or other countries where we do significant business, or other restrictions on specific industries, such as pharmaceuticals, could further materially impact our results in the future. While we are taking actions to mitigate the impact of tariffs, we do not expect that our mitigation actions will fully offset the additional costs or other negative impacts resulting from the tariffs.</w:t>
      </w:r>
    </w:p>
    <w:p>
      <w:pPr>
        <w:spacing w:after="0" w:line="206"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We continue to monitor the global markets in which we operate for changes in customer behavior, changes in government spending and reimbursement, and indirect impacts from the tariffs. Should these factors dampen economic growth, slow global trade, or impact inflation, we could see adverse impacts to our business as our customers adapt to the change in economic environment. We also continue to monitor potential impacts on purchasing decisions by both public and private customers in China and other markets as a result of the current trade environment, as well as other actions related to tariffs and trade frictions, investigations, or activities that could similarly increase our costs or otherwise impact our business. In addition, if negative sentiment towards U.S. companies influences the purchasing decisions of global customers, our business could be impacted materially.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China Market</w:t>
      </w:r>
    </w:p>
    <w:p>
      <w:pPr>
        <w:spacing w:after="0" w:line="2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believe the focus of government policy in China is on expanding access to healthcare. In addition, our investments to address clinical needs, localization, and commercial infrastructure should benefit our business in China in the long term. However, we continue to monitor developments in the China market, including increased competition from local companies and the prevalence of Volume Based Procurement policies, both of which have impacted our orders and revenues and may continue to do so.</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Russia and Ukraine Conflict</w:t>
      </w:r>
    </w:p>
    <w:p>
      <w:pPr>
        <w:spacing w:after="0" w:line="29"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We had $214 million and $162 million of assets in, or directly related to, Russia and Ukraine as of December 31, 2025 and December 31, 2024, respectively, none of which are subject to sanctions that impact the carrying value of the assets. We generated revenues of $353 million and $363 million from customers in these two countries for the years ended December 31, 2025 and 2024, respectively. The potential inability to repatriate earnings from these two countries will not have a material impact on our ability to operate.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We continue to monitor the effects of Russia’s invasion of Ukraine, including the consideration of financial impact, cybersecurity risks, the applicability and effect of sanctions, and the employee base in Ukraine and Russia. Under the current U.S. Department of Commerce regulations, we are permitted to export, re-export, or transfer medical equipment and spare parts that meet stated criteria under a License Exception, which has eliminated the need for us to obtain individual U.S. licenses in most cases; however, licenses still may be needed for some transactions. The European Union and other countries have also expanded licensing requirements for certain spare parts, services, software, and other items. We will continue to apply for licenses to supply to these customers and to support our business in Russia, as required. The implementation of these measures affected our ability to supply customers in Russia during the years ended December 31, 2025 and 2024 and is expected to continue to do so as we confirm applicability of the U.S. License Exception to our transactions and continue to obtain licenses. There is no guarantee we will obtain all of the licenses for which we apply, that any approvals we obtain will be on a timely basis, or that our business in Russia will not be further disrupted due to evolving legal or operational considerations. We will continue to assess whether developments related to the conflict have had, or are reasonably likely to have, a material impact on the Company.</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Geopolitical Conflicts</w:t>
      </w:r>
    </w:p>
    <w:p>
      <w:pPr>
        <w:spacing w:after="0" w:line="19"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Geopolitical instability, across multiple regions, could adversely impact our operations, supply chains, and logistics. These events may result in increased costs, delays in product deliveries, and challenges in maintaining service levels in affected areas. While these events have not materially impacted our operations, we continue to monitor these developments closely.</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U.S. Legislation</w:t>
      </w:r>
    </w:p>
    <w:p>
      <w:pPr>
        <w:spacing w:after="0" w:line="19"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On July 4, 2025, the One Big Beautiful Bill Act was signed into U.S. law, which includes significant changes to the federal income tax system. The changes did not have a material impact to the Company’s tax provision for the year ended December 31, 2025.</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Seasonality</w:t>
      </w:r>
    </w:p>
    <w:p>
      <w:pPr>
        <w:spacing w:after="0" w:line="19"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color w:val="auto"/>
        </w:rPr>
        <w:t>Our revenues, operating profits, and cash flows vary from quarter to quarter. Financial results in the fourth quarter have historically been higher than in other quarters due to the spending patterns of our customers.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KEY PERFORMANCE MEASURES</w:t>
      </w:r>
    </w:p>
    <w:p>
      <w:pPr>
        <w:spacing w:after="0" w:line="25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Management reviews and analyzes several key performance measures including Total revenues, Operating income, Net income attributable to GE HealthCare, Earnings per share, and Cash from (used for) operating activities. Management also reviews and analyzes Organic revenue*, Adjusted earnings before interest and taxes* (“Adjusted EBIT*”), Adjusted net income*, Adjusted tax expense*, Adjusted effective tax rate* (“Adjusted ETR*”), Adjusted earnings per share*, and Free cash flow*, which are non-GAAP financial measures. These measures are reviewed and analyzed in order to evaluate our business performance, identify trends affecting our business, allocate capital, and make strategic decisions, including those discussed below. See “Results of Operations” and “Liquidity and Capital Resources” below for further discussion on our key performance measures.</w:t>
      </w:r>
    </w:p>
    <w:p>
      <w:pPr>
        <w:spacing w:after="0" w:line="203"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non-GAAP financial measures should be considered along with the most directly comparable U.S. GAAP financial measures. Definitions of these non-GAAP financial measures, a discussion of why we believe they are useful to management and investors as well as certain of their limitations, and reconciliations to their most directly comparable U.S. GAAP financial measures are provided below under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our results of operations for each of the periods presented.</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00" w:type="dxa"/>
            <w:vAlign w:val="bottom"/>
            <w:gridSpan w:val="3"/>
          </w:tcPr>
          <w:p>
            <w:pPr>
              <w:jc w:val="right"/>
              <w:ind w:right="51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4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640" w:type="dxa"/>
            <w:vAlign w:val="bottom"/>
            <w:tcBorders>
              <w:bottom w:val="single" w:sz="8" w:color="454545"/>
            </w:tcBorders>
          </w:tcPr>
          <w:p>
            <w:pPr>
              <w:spacing w:after="0" w:line="20" w:lineRule="exact"/>
              <w:rPr>
                <w:sz w:val="1"/>
                <w:szCs w:val="1"/>
                <w:color w:val="auto"/>
              </w:rPr>
            </w:pPr>
          </w:p>
        </w:tc>
      </w:tr>
      <w:tr>
        <w:trPr>
          <w:trHeight w:val="229"/>
        </w:trPr>
        <w:tc>
          <w:tcPr>
            <w:tcW w:w="4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ind w:right="659"/>
              <w:spacing w:after="0"/>
              <w:rPr>
                <w:sz w:val="20"/>
                <w:szCs w:val="20"/>
                <w:color w:val="auto"/>
              </w:rPr>
            </w:pPr>
            <w:r>
              <w:rPr>
                <w:rFonts w:ascii="Arial" w:cs="Arial" w:eastAsia="Arial" w:hAnsi="Arial"/>
                <w:sz w:val="16"/>
                <w:szCs w:val="16"/>
                <w:b w:val="1"/>
                <w:bCs w:val="1"/>
                <w:color w:val="454545"/>
              </w:rPr>
              <w:t>2025</w:t>
            </w:r>
          </w:p>
        </w:tc>
        <w:tc>
          <w:tcPr>
            <w:tcW w:w="280" w:type="dxa"/>
            <w:vAlign w:val="bottom"/>
          </w:tcPr>
          <w:p>
            <w:pPr>
              <w:spacing w:after="0"/>
              <w:rPr>
                <w:sz w:val="19"/>
                <w:szCs w:val="19"/>
                <w:color w:val="auto"/>
              </w:rPr>
            </w:pPr>
          </w:p>
        </w:tc>
        <w:tc>
          <w:tcPr>
            <w:tcW w:w="164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2024</w:t>
            </w:r>
          </w:p>
        </w:tc>
      </w:tr>
      <w:tr>
        <w:trPr>
          <w:trHeight w:val="21"/>
        </w:trPr>
        <w:tc>
          <w:tcPr>
            <w:tcW w:w="45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r>
      <w:tr>
        <w:trPr>
          <w:trHeight w:val="23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of products</w:t>
            </w:r>
          </w:p>
        </w:tc>
        <w:tc>
          <w:tcPr>
            <w:tcW w:w="108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gridSpan w:val="2"/>
            <w:shd w:val="clear" w:color="auto" w:fill="E4E4E4"/>
          </w:tcPr>
          <w:p>
            <w:pPr>
              <w:jc w:val="right"/>
              <w:ind w:right="38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13,661</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13,075</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Sales of services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6,964</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6,597</w:t>
            </w:r>
          </w:p>
        </w:tc>
      </w:tr>
      <w:tr>
        <w:trPr>
          <w:trHeight w:val="29"/>
        </w:trPr>
        <w:tc>
          <w:tcPr>
            <w:tcW w:w="4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5"/>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1080" w:type="dxa"/>
            <w:vAlign w:val="bottom"/>
            <w:tcBorders>
              <w:bottom w:val="single" w:sz="8" w:color="E4E4E4"/>
            </w:tcBorders>
            <w:shd w:val="clear" w:color="auto" w:fill="E4E4E4"/>
          </w:tcPr>
          <w:p>
            <w:pPr>
              <w:spacing w:after="0"/>
              <w:rPr>
                <w:sz w:val="21"/>
                <w:szCs w:val="21"/>
                <w:color w:val="auto"/>
              </w:rPr>
            </w:pPr>
          </w:p>
        </w:tc>
        <w:tc>
          <w:tcPr>
            <w:tcW w:w="5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spacing w:after="0"/>
              <w:rPr>
                <w:sz w:val="21"/>
                <w:szCs w:val="21"/>
                <w:color w:val="auto"/>
              </w:rPr>
            </w:pPr>
          </w:p>
        </w:tc>
        <w:tc>
          <w:tcPr>
            <w:tcW w:w="480" w:type="dxa"/>
            <w:vAlign w:val="bottom"/>
            <w:tcBorders>
              <w:bottom w:val="single" w:sz="8" w:color="E4E4E4"/>
            </w:tcBorders>
            <w:shd w:val="clear" w:color="auto" w:fill="E4E4E4"/>
          </w:tcPr>
          <w:p>
            <w:pPr>
              <w:spacing w:after="0"/>
              <w:rPr>
                <w:sz w:val="21"/>
                <w:szCs w:val="21"/>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20,625</w:t>
            </w:r>
          </w:p>
        </w:tc>
        <w:tc>
          <w:tcPr>
            <w:tcW w:w="280" w:type="dxa"/>
            <w:vAlign w:val="bottom"/>
            <w:tcBorders>
              <w:bottom w:val="single" w:sz="8" w:color="E4E4E4"/>
            </w:tcBorders>
            <w:shd w:val="clear" w:color="auto" w:fill="E4E4E4"/>
          </w:tcPr>
          <w:p>
            <w:pPr>
              <w:spacing w:after="0"/>
              <w:rPr>
                <w:sz w:val="21"/>
                <w:szCs w:val="21"/>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19,672</w:t>
            </w:r>
          </w:p>
        </w:tc>
      </w:tr>
      <w:tr>
        <w:trPr>
          <w:trHeight w:val="221"/>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Cost of products</w:t>
            </w:r>
          </w:p>
        </w:tc>
        <w:tc>
          <w:tcPr>
            <w:tcW w:w="10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8,942</w:t>
            </w: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8,271</w:t>
            </w:r>
          </w:p>
        </w:tc>
      </w:tr>
      <w:tr>
        <w:trPr>
          <w:trHeight w:val="29"/>
        </w:trPr>
        <w:tc>
          <w:tcPr>
            <w:tcW w:w="4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62"/>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Cost of services</w:t>
            </w:r>
          </w:p>
        </w:tc>
        <w:tc>
          <w:tcPr>
            <w:tcW w:w="108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spacing w:after="0"/>
              <w:rPr>
                <w:sz w:val="22"/>
                <w:szCs w:val="22"/>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3,436</w:t>
            </w:r>
          </w:p>
        </w:tc>
        <w:tc>
          <w:tcPr>
            <w:tcW w:w="280" w:type="dxa"/>
            <w:vAlign w:val="bottom"/>
            <w:tcBorders>
              <w:bottom w:val="single" w:sz="8" w:color="E4E4E4"/>
            </w:tcBorders>
            <w:shd w:val="clear" w:color="auto" w:fill="E4E4E4"/>
          </w:tcPr>
          <w:p>
            <w:pPr>
              <w:spacing w:after="0"/>
              <w:rPr>
                <w:sz w:val="22"/>
                <w:szCs w:val="22"/>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3,196</w:t>
            </w:r>
          </w:p>
        </w:tc>
      </w:tr>
      <w:tr>
        <w:trPr>
          <w:trHeight w:val="229"/>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Gross profit</w:t>
            </w:r>
          </w:p>
        </w:tc>
        <w:tc>
          <w:tcPr>
            <w:tcW w:w="10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8,248</w:t>
            </w: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8,205</w:t>
            </w:r>
          </w:p>
        </w:tc>
      </w:tr>
      <w:tr>
        <w:trPr>
          <w:trHeight w:val="21"/>
        </w:trPr>
        <w:tc>
          <w:tcPr>
            <w:tcW w:w="4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Selling, general, and administrative</w:t>
            </w:r>
          </w:p>
        </w:tc>
        <w:tc>
          <w:tcPr>
            <w:tcW w:w="108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4,225</w:t>
            </w:r>
          </w:p>
        </w:tc>
        <w:tc>
          <w:tcPr>
            <w:tcW w:w="28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4,269</w:t>
            </w:r>
          </w:p>
        </w:tc>
      </w:tr>
      <w:tr>
        <w:trPr>
          <w:trHeight w:val="227"/>
        </w:trPr>
        <w:tc>
          <w:tcPr>
            <w:tcW w:w="45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1,260</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1,311</w:t>
            </w:r>
          </w:p>
        </w:tc>
      </w:tr>
      <w:tr>
        <w:trPr>
          <w:trHeight w:val="29"/>
        </w:trPr>
        <w:tc>
          <w:tcPr>
            <w:tcW w:w="4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5"/>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1080" w:type="dxa"/>
            <w:vAlign w:val="bottom"/>
            <w:tcBorders>
              <w:bottom w:val="single" w:sz="8" w:color="E4E4E4"/>
            </w:tcBorders>
            <w:shd w:val="clear" w:color="auto" w:fill="E4E4E4"/>
          </w:tcPr>
          <w:p>
            <w:pPr>
              <w:spacing w:after="0"/>
              <w:rPr>
                <w:sz w:val="21"/>
                <w:szCs w:val="21"/>
                <w:color w:val="auto"/>
              </w:rPr>
            </w:pPr>
          </w:p>
        </w:tc>
        <w:tc>
          <w:tcPr>
            <w:tcW w:w="5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spacing w:after="0"/>
              <w:rPr>
                <w:sz w:val="21"/>
                <w:szCs w:val="21"/>
                <w:color w:val="auto"/>
              </w:rPr>
            </w:pPr>
          </w:p>
        </w:tc>
        <w:tc>
          <w:tcPr>
            <w:tcW w:w="480" w:type="dxa"/>
            <w:vAlign w:val="bottom"/>
            <w:tcBorders>
              <w:bottom w:val="single" w:sz="8" w:color="E4E4E4"/>
            </w:tcBorders>
            <w:shd w:val="clear" w:color="auto" w:fill="E4E4E4"/>
          </w:tcPr>
          <w:p>
            <w:pPr>
              <w:spacing w:after="0"/>
              <w:rPr>
                <w:sz w:val="21"/>
                <w:szCs w:val="21"/>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5,485</w:t>
            </w:r>
          </w:p>
        </w:tc>
        <w:tc>
          <w:tcPr>
            <w:tcW w:w="280" w:type="dxa"/>
            <w:vAlign w:val="bottom"/>
            <w:tcBorders>
              <w:bottom w:val="single" w:sz="8" w:color="E4E4E4"/>
            </w:tcBorders>
            <w:shd w:val="clear" w:color="auto" w:fill="E4E4E4"/>
          </w:tcPr>
          <w:p>
            <w:pPr>
              <w:spacing w:after="0"/>
              <w:rPr>
                <w:sz w:val="21"/>
                <w:szCs w:val="21"/>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5,580</w:t>
            </w:r>
          </w:p>
        </w:tc>
      </w:tr>
      <w:tr>
        <w:trPr>
          <w:trHeight w:val="229"/>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10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2,763</w:t>
            </w: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2,625</w:t>
            </w:r>
          </w:p>
        </w:tc>
      </w:tr>
      <w:tr>
        <w:trPr>
          <w:trHeight w:val="21"/>
        </w:trPr>
        <w:tc>
          <w:tcPr>
            <w:tcW w:w="4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37"/>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08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440</w:t>
            </w:r>
          </w:p>
        </w:tc>
        <w:tc>
          <w:tcPr>
            <w:tcW w:w="28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504</w:t>
            </w:r>
          </w:p>
        </w:tc>
      </w:tr>
      <w:tr>
        <w:trPr>
          <w:trHeight w:val="228"/>
        </w:trPr>
        <w:tc>
          <w:tcPr>
            <w:tcW w:w="4520" w:type="dxa"/>
            <w:vAlign w:val="bottom"/>
          </w:tcPr>
          <w:p>
            <w:pPr>
              <w:ind w:left="20"/>
              <w:spacing w:after="0"/>
              <w:rPr>
                <w:sz w:val="20"/>
                <w:szCs w:val="20"/>
                <w:color w:val="auto"/>
              </w:rPr>
            </w:pPr>
            <w:r>
              <w:rPr>
                <w:rFonts w:ascii="Arial" w:cs="Arial" w:eastAsia="Arial" w:hAnsi="Arial"/>
                <w:sz w:val="16"/>
                <w:szCs w:val="16"/>
                <w:color w:val="auto"/>
              </w:rPr>
              <w:t>Non-operating benefit (income) costs</w:t>
            </w: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(288)</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(406)</w:t>
            </w:r>
          </w:p>
        </w:tc>
      </w:tr>
      <w:tr>
        <w:trPr>
          <w:trHeight w:val="29"/>
        </w:trPr>
        <w:tc>
          <w:tcPr>
            <w:tcW w:w="4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62"/>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(income) expense – net</w:t>
            </w:r>
          </w:p>
        </w:tc>
        <w:tc>
          <w:tcPr>
            <w:tcW w:w="108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spacing w:after="0"/>
              <w:rPr>
                <w:sz w:val="22"/>
                <w:szCs w:val="22"/>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w:t>
            </w:r>
          </w:p>
        </w:tc>
        <w:tc>
          <w:tcPr>
            <w:tcW w:w="280" w:type="dxa"/>
            <w:vAlign w:val="bottom"/>
            <w:tcBorders>
              <w:bottom w:val="single" w:sz="8" w:color="E4E4E4"/>
            </w:tcBorders>
            <w:shd w:val="clear" w:color="auto" w:fill="E4E4E4"/>
          </w:tcPr>
          <w:p>
            <w:pPr>
              <w:spacing w:after="0"/>
              <w:rPr>
                <w:sz w:val="22"/>
                <w:szCs w:val="22"/>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r>
      <w:tr>
        <w:trPr>
          <w:trHeight w:val="229"/>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2,768</w:t>
            </w: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2,581</w:t>
            </w:r>
          </w:p>
        </w:tc>
      </w:tr>
      <w:tr>
        <w:trPr>
          <w:trHeight w:val="21"/>
        </w:trPr>
        <w:tc>
          <w:tcPr>
            <w:tcW w:w="4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61"/>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 (provision) for income taxes</w:t>
            </w:r>
          </w:p>
        </w:tc>
        <w:tc>
          <w:tcPr>
            <w:tcW w:w="108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spacing w:after="0"/>
              <w:rPr>
                <w:sz w:val="22"/>
                <w:szCs w:val="22"/>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(614)</w:t>
            </w:r>
          </w:p>
        </w:tc>
        <w:tc>
          <w:tcPr>
            <w:tcW w:w="280" w:type="dxa"/>
            <w:vAlign w:val="bottom"/>
            <w:tcBorders>
              <w:bottom w:val="single" w:sz="8" w:color="E4E4E4"/>
            </w:tcBorders>
            <w:shd w:val="clear" w:color="auto" w:fill="E4E4E4"/>
          </w:tcPr>
          <w:p>
            <w:pPr>
              <w:spacing w:after="0"/>
              <w:rPr>
                <w:sz w:val="22"/>
                <w:szCs w:val="22"/>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(531)</w:t>
            </w:r>
          </w:p>
        </w:tc>
      </w:tr>
      <w:tr>
        <w:trPr>
          <w:trHeight w:val="229"/>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w:t>
            </w:r>
          </w:p>
        </w:tc>
        <w:tc>
          <w:tcPr>
            <w:tcW w:w="10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2,154</w:t>
            </w:r>
          </w:p>
        </w:tc>
        <w:tc>
          <w:tcPr>
            <w:tcW w:w="2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2,050</w:t>
            </w:r>
          </w:p>
        </w:tc>
      </w:tr>
      <w:tr>
        <w:trPr>
          <w:trHeight w:val="21"/>
        </w:trPr>
        <w:tc>
          <w:tcPr>
            <w:tcW w:w="4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55"/>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1080" w:type="dxa"/>
            <w:vAlign w:val="bottom"/>
            <w:tcBorders>
              <w:bottom w:val="single" w:sz="8" w:color="E4E4E4"/>
            </w:tcBorders>
            <w:shd w:val="clear" w:color="auto" w:fill="E4E4E4"/>
          </w:tcPr>
          <w:p>
            <w:pPr>
              <w:spacing w:after="0"/>
              <w:rPr>
                <w:sz w:val="21"/>
                <w:szCs w:val="21"/>
                <w:color w:val="auto"/>
              </w:rPr>
            </w:pPr>
          </w:p>
        </w:tc>
        <w:tc>
          <w:tcPr>
            <w:tcW w:w="5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spacing w:after="0"/>
              <w:rPr>
                <w:sz w:val="21"/>
                <w:szCs w:val="21"/>
                <w:color w:val="auto"/>
              </w:rPr>
            </w:pPr>
          </w:p>
        </w:tc>
        <w:tc>
          <w:tcPr>
            <w:tcW w:w="480" w:type="dxa"/>
            <w:vAlign w:val="bottom"/>
            <w:tcBorders>
              <w:bottom w:val="single" w:sz="8" w:color="E4E4E4"/>
            </w:tcBorders>
            <w:shd w:val="clear" w:color="auto" w:fill="E4E4E4"/>
          </w:tcPr>
          <w:p>
            <w:pPr>
              <w:spacing w:after="0"/>
              <w:rPr>
                <w:sz w:val="21"/>
                <w:szCs w:val="21"/>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w:t>
            </w:r>
          </w:p>
        </w:tc>
        <w:tc>
          <w:tcPr>
            <w:tcW w:w="280" w:type="dxa"/>
            <w:vAlign w:val="bottom"/>
            <w:tcBorders>
              <w:bottom w:val="single" w:sz="8" w:color="E4E4E4"/>
            </w:tcBorders>
            <w:shd w:val="clear" w:color="auto" w:fill="E4E4E4"/>
          </w:tcPr>
          <w:p>
            <w:pPr>
              <w:spacing w:after="0"/>
              <w:rPr>
                <w:sz w:val="21"/>
                <w:szCs w:val="21"/>
                <w:color w:val="auto"/>
              </w:rPr>
            </w:pP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r>
      <w:tr>
        <w:trPr>
          <w:trHeight w:val="229"/>
        </w:trPr>
        <w:tc>
          <w:tcPr>
            <w:tcW w:w="4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10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6"/>
                <w:szCs w:val="16"/>
                <w:b w:val="1"/>
                <w:bCs w:val="1"/>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2,084</w:t>
            </w:r>
          </w:p>
        </w:tc>
        <w:tc>
          <w:tcPr>
            <w:tcW w:w="2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1,993</w:t>
            </w:r>
          </w:p>
        </w:tc>
      </w:tr>
      <w:tr>
        <w:trPr>
          <w:trHeight w:val="21"/>
        </w:trPr>
        <w:tc>
          <w:tcPr>
            <w:tcW w:w="4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526"/>
        </w:trPr>
        <w:tc>
          <w:tcPr>
            <w:tcW w:w="4520" w:type="dxa"/>
            <w:vAlign w:val="bottom"/>
          </w:tcPr>
          <w:p>
            <w:pPr>
              <w:spacing w:after="0"/>
              <w:rPr>
                <w:sz w:val="20"/>
                <w:szCs w:val="20"/>
                <w:color w:val="auto"/>
              </w:rPr>
            </w:pPr>
            <w:r>
              <w:rPr>
                <w:rFonts w:ascii="Arial" w:cs="Arial" w:eastAsia="Arial" w:hAnsi="Arial"/>
                <w:sz w:val="16"/>
                <w:szCs w:val="16"/>
                <w:b w:val="1"/>
                <w:bCs w:val="1"/>
                <w:color w:val="auto"/>
              </w:rPr>
              <w:t>TOTAL REVENUES.</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13"/>
        </w:trPr>
        <w:tc>
          <w:tcPr>
            <w:tcW w:w="4520" w:type="dxa"/>
            <w:vAlign w:val="bottom"/>
          </w:tcPr>
          <w:p>
            <w:pPr>
              <w:ind w:left="20"/>
              <w:spacing w:after="0"/>
              <w:rPr>
                <w:sz w:val="20"/>
                <w:szCs w:val="20"/>
                <w:color w:val="auto"/>
              </w:rPr>
            </w:pPr>
            <w:r>
              <w:rPr>
                <w:rFonts w:ascii="Arial" w:cs="Arial" w:eastAsia="Arial" w:hAnsi="Arial"/>
                <w:sz w:val="16"/>
                <w:szCs w:val="16"/>
                <w:b w:val="1"/>
                <w:bCs w:val="1"/>
                <w:color w:val="auto"/>
              </w:rPr>
              <w:t>Revenues by Segment</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454545"/>
              </w:rPr>
              <w:t>For the years ended December 31</w:t>
            </w: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8"/>
        </w:trPr>
        <w:tc>
          <w:tcPr>
            <w:tcW w:w="4520" w:type="dxa"/>
            <w:vAlign w:val="bottom"/>
          </w:tcPr>
          <w:p>
            <w:pPr>
              <w:spacing w:after="0"/>
              <w:rPr>
                <w:sz w:val="4"/>
                <w:szCs w:val="4"/>
                <w:color w:val="auto"/>
              </w:rPr>
            </w:pPr>
          </w:p>
        </w:tc>
        <w:tc>
          <w:tcPr>
            <w:tcW w:w="1080" w:type="dxa"/>
            <w:vAlign w:val="bottom"/>
            <w:tcBorders>
              <w:bottom w:val="single" w:sz="8" w:color="454545"/>
            </w:tcBorders>
          </w:tcPr>
          <w:p>
            <w:pPr>
              <w:spacing w:after="0"/>
              <w:rPr>
                <w:sz w:val="4"/>
                <w:szCs w:val="4"/>
                <w:color w:val="auto"/>
              </w:rPr>
            </w:pPr>
          </w:p>
        </w:tc>
        <w:tc>
          <w:tcPr>
            <w:tcW w:w="580" w:type="dxa"/>
            <w:vAlign w:val="bottom"/>
            <w:tcBorders>
              <w:bottom w:val="single" w:sz="8" w:color="454545"/>
            </w:tcBorders>
          </w:tcPr>
          <w:p>
            <w:pPr>
              <w:spacing w:after="0"/>
              <w:rPr>
                <w:sz w:val="4"/>
                <w:szCs w:val="4"/>
                <w:color w:val="auto"/>
              </w:rPr>
            </w:pPr>
          </w:p>
        </w:tc>
        <w:tc>
          <w:tcPr>
            <w:tcW w:w="260" w:type="dxa"/>
            <w:vAlign w:val="bottom"/>
            <w:tcBorders>
              <w:bottom w:val="single" w:sz="8" w:color="454545"/>
            </w:tcBorders>
          </w:tcPr>
          <w:p>
            <w:pPr>
              <w:spacing w:after="0"/>
              <w:rPr>
                <w:sz w:val="4"/>
                <w:szCs w:val="4"/>
                <w:color w:val="auto"/>
              </w:rPr>
            </w:pPr>
          </w:p>
        </w:tc>
        <w:tc>
          <w:tcPr>
            <w:tcW w:w="1020" w:type="dxa"/>
            <w:vAlign w:val="bottom"/>
            <w:tcBorders>
              <w:bottom w:val="single" w:sz="8" w:color="454545"/>
            </w:tcBorders>
          </w:tcPr>
          <w:p>
            <w:pPr>
              <w:spacing w:after="0"/>
              <w:rPr>
                <w:sz w:val="4"/>
                <w:szCs w:val="4"/>
                <w:color w:val="auto"/>
              </w:rPr>
            </w:pPr>
          </w:p>
        </w:tc>
        <w:tc>
          <w:tcPr>
            <w:tcW w:w="480" w:type="dxa"/>
            <w:vAlign w:val="bottom"/>
            <w:tcBorders>
              <w:bottom w:val="single" w:sz="8" w:color="454545"/>
            </w:tcBorders>
          </w:tcPr>
          <w:p>
            <w:pPr>
              <w:spacing w:after="0"/>
              <w:rPr>
                <w:sz w:val="4"/>
                <w:szCs w:val="4"/>
                <w:color w:val="auto"/>
              </w:rPr>
            </w:pPr>
          </w:p>
        </w:tc>
        <w:tc>
          <w:tcPr>
            <w:tcW w:w="1380" w:type="dxa"/>
            <w:vAlign w:val="bottom"/>
            <w:tcBorders>
              <w:bottom w:val="single" w:sz="8" w:color="454545"/>
            </w:tcBorders>
          </w:tcPr>
          <w:p>
            <w:pPr>
              <w:spacing w:after="0"/>
              <w:rPr>
                <w:sz w:val="4"/>
                <w:szCs w:val="4"/>
                <w:color w:val="auto"/>
              </w:rPr>
            </w:pPr>
          </w:p>
        </w:tc>
        <w:tc>
          <w:tcPr>
            <w:tcW w:w="280" w:type="dxa"/>
            <w:vAlign w:val="bottom"/>
            <w:tcBorders>
              <w:bottom w:val="single" w:sz="8" w:color="454545"/>
            </w:tcBorders>
          </w:tcPr>
          <w:p>
            <w:pPr>
              <w:spacing w:after="0"/>
              <w:rPr>
                <w:sz w:val="4"/>
                <w:szCs w:val="4"/>
                <w:color w:val="auto"/>
              </w:rPr>
            </w:pPr>
          </w:p>
        </w:tc>
        <w:tc>
          <w:tcPr>
            <w:tcW w:w="1640" w:type="dxa"/>
            <w:vAlign w:val="bottom"/>
            <w:tcBorders>
              <w:bottom w:val="single" w:sz="8" w:color="454545"/>
            </w:tcBorders>
          </w:tcPr>
          <w:p>
            <w:pPr>
              <w:spacing w:after="0"/>
              <w:rPr>
                <w:sz w:val="4"/>
                <w:szCs w:val="4"/>
                <w:color w:val="auto"/>
              </w:rPr>
            </w:pPr>
          </w:p>
        </w:tc>
      </w:tr>
      <w:tr>
        <w:trPr>
          <w:trHeight w:val="229"/>
        </w:trPr>
        <w:tc>
          <w:tcPr>
            <w:tcW w:w="4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2024</w:t>
            </w:r>
          </w:p>
        </w:tc>
        <w:tc>
          <w:tcPr>
            <w:tcW w:w="480" w:type="dxa"/>
            <w:vAlign w:val="bottom"/>
          </w:tcPr>
          <w:p>
            <w:pPr>
              <w:spacing w:after="0"/>
              <w:rPr>
                <w:sz w:val="19"/>
                <w:szCs w:val="19"/>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b w:val="1"/>
                <w:bCs w:val="1"/>
                <w:color w:val="454545"/>
              </w:rPr>
              <w:t>% change</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454545"/>
              </w:rPr>
              <w:t>% organic* change</w:t>
            </w:r>
          </w:p>
        </w:tc>
      </w:tr>
      <w:tr>
        <w:trPr>
          <w:trHeight w:val="21"/>
        </w:trPr>
        <w:tc>
          <w:tcPr>
            <w:tcW w:w="452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640" w:type="dxa"/>
            <w:vAlign w:val="bottom"/>
            <w:tcBorders>
              <w:bottom w:val="single" w:sz="8" w:color="6022A6"/>
            </w:tcBorders>
          </w:tcPr>
          <w:p>
            <w:pPr>
              <w:spacing w:after="0" w:line="20" w:lineRule="exact"/>
              <w:rPr>
                <w:sz w:val="1"/>
                <w:szCs w:val="1"/>
                <w:color w:val="auto"/>
              </w:rPr>
            </w:pPr>
          </w:p>
        </w:tc>
      </w:tr>
      <w:tr>
        <w:trPr>
          <w:trHeight w:val="23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revenues</w:t>
            </w:r>
          </w:p>
        </w:tc>
        <w:tc>
          <w:tcPr>
            <w:tcW w:w="108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640" w:type="dxa"/>
            <w:vAlign w:val="bottom"/>
            <w:tcBorders>
              <w:bottom w:val="single" w:sz="8" w:color="E4E4E4"/>
            </w:tcBorders>
            <w:shd w:val="clear" w:color="auto" w:fill="E4E4E4"/>
          </w:tcPr>
          <w:p>
            <w:pPr>
              <w:spacing w:after="0"/>
              <w:rPr>
                <w:sz w:val="20"/>
                <w:szCs w:val="20"/>
                <w:color w:val="auto"/>
              </w:rPr>
            </w:pPr>
          </w:p>
        </w:tc>
      </w:tr>
      <w:tr>
        <w:trPr>
          <w:trHeight w:val="268"/>
        </w:trPr>
        <w:tc>
          <w:tcPr>
            <w:tcW w:w="4520" w:type="dxa"/>
            <w:vAlign w:val="bottom"/>
          </w:tcPr>
          <w:p>
            <w:pPr>
              <w:ind w:left="300"/>
              <w:spacing w:after="0"/>
              <w:rPr>
                <w:sz w:val="20"/>
                <w:szCs w:val="20"/>
                <w:color w:val="auto"/>
              </w:rPr>
            </w:pPr>
            <w:r>
              <w:rPr>
                <w:rFonts w:ascii="Arial" w:cs="Arial" w:eastAsia="Arial" w:hAnsi="Arial"/>
                <w:sz w:val="16"/>
                <w:szCs w:val="16"/>
                <w:color w:val="auto"/>
              </w:rPr>
              <w:t>Imaging</w:t>
            </w:r>
          </w:p>
        </w:tc>
        <w:tc>
          <w:tcPr>
            <w:tcW w:w="1080" w:type="dxa"/>
            <w:vAlign w:val="bottom"/>
          </w:tcPr>
          <w:p>
            <w:pPr>
              <w:jc w:val="right"/>
              <w:ind w:right="8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9,245</w:t>
            </w:r>
          </w:p>
        </w:tc>
        <w:tc>
          <w:tcPr>
            <w:tcW w:w="2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8,855</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color w:val="auto"/>
              </w:rPr>
              <w:t>4.4%</w:t>
            </w:r>
          </w:p>
        </w:tc>
        <w:tc>
          <w:tcPr>
            <w:tcW w:w="16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9"/>
        </w:trPr>
        <w:tc>
          <w:tcPr>
            <w:tcW w:w="4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r>
      <w:tr>
        <w:trPr>
          <w:trHeight w:val="277"/>
        </w:trPr>
        <w:tc>
          <w:tcPr>
            <w:tcW w:w="45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AVS</w:t>
            </w:r>
          </w:p>
        </w:tc>
        <w:tc>
          <w:tcPr>
            <w:tcW w:w="1080" w:type="dxa"/>
            <w:vAlign w:val="bottom"/>
            <w:tcBorders>
              <w:bottom w:val="single" w:sz="8" w:color="E4E4E4"/>
            </w:tcBorders>
            <w:shd w:val="clear" w:color="auto" w:fill="E4E4E4"/>
          </w:tcPr>
          <w:p>
            <w:pPr>
              <w:spacing w:after="0"/>
              <w:rPr>
                <w:sz w:val="24"/>
                <w:szCs w:val="24"/>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5,354</w:t>
            </w:r>
          </w:p>
        </w:tc>
        <w:tc>
          <w:tcPr>
            <w:tcW w:w="260" w:type="dxa"/>
            <w:vAlign w:val="bottom"/>
            <w:tcBorders>
              <w:bottom w:val="single" w:sz="8" w:color="E4E4E4"/>
            </w:tcBorders>
            <w:shd w:val="clear" w:color="auto" w:fill="E4E4E4"/>
          </w:tcPr>
          <w:p>
            <w:pPr>
              <w:spacing w:after="0"/>
              <w:rPr>
                <w:sz w:val="24"/>
                <w:szCs w:val="24"/>
                <w:color w:val="auto"/>
              </w:rPr>
            </w:pPr>
          </w:p>
        </w:tc>
        <w:tc>
          <w:tcPr>
            <w:tcW w:w="150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color w:val="auto"/>
              </w:rPr>
              <w:t>5,131</w:t>
            </w:r>
          </w:p>
        </w:tc>
        <w:tc>
          <w:tcPr>
            <w:tcW w:w="1660" w:type="dxa"/>
            <w:vAlign w:val="bottom"/>
            <w:tcBorders>
              <w:bottom w:val="single" w:sz="8" w:color="E4E4E4"/>
            </w:tcBorders>
            <w:gridSpan w:val="2"/>
            <w:shd w:val="clear" w:color="auto" w:fill="E4E4E4"/>
          </w:tcPr>
          <w:p>
            <w:pPr>
              <w:jc w:val="right"/>
              <w:ind w:right="19"/>
              <w:spacing w:after="0"/>
              <w:rPr>
                <w:sz w:val="20"/>
                <w:szCs w:val="20"/>
                <w:color w:val="auto"/>
              </w:rPr>
            </w:pPr>
            <w:r>
              <w:rPr>
                <w:rFonts w:ascii="Arial" w:cs="Arial" w:eastAsia="Arial" w:hAnsi="Arial"/>
                <w:sz w:val="16"/>
                <w:szCs w:val="16"/>
                <w:color w:val="auto"/>
              </w:rPr>
              <w:t>4.3%</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r>
      <w:tr>
        <w:trPr>
          <w:trHeight w:val="268"/>
        </w:trPr>
        <w:tc>
          <w:tcPr>
            <w:tcW w:w="4520" w:type="dxa"/>
            <w:vAlign w:val="bottom"/>
          </w:tcPr>
          <w:p>
            <w:pPr>
              <w:ind w:left="300"/>
              <w:spacing w:after="0"/>
              <w:rPr>
                <w:sz w:val="20"/>
                <w:szCs w:val="20"/>
                <w:color w:val="auto"/>
              </w:rPr>
            </w:pPr>
            <w:r>
              <w:rPr>
                <w:rFonts w:ascii="Arial" w:cs="Arial" w:eastAsia="Arial" w:hAnsi="Arial"/>
                <w:sz w:val="16"/>
                <w:szCs w:val="16"/>
                <w:color w:val="auto"/>
              </w:rPr>
              <w:t>PCS</w:t>
            </w:r>
          </w:p>
        </w:tc>
        <w:tc>
          <w:tcPr>
            <w:tcW w:w="108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3,086</w:t>
            </w:r>
          </w:p>
        </w:tc>
        <w:tc>
          <w:tcPr>
            <w:tcW w:w="260" w:type="dxa"/>
            <w:vAlign w:val="bottom"/>
          </w:tcPr>
          <w:p>
            <w:pPr>
              <w:spacing w:after="0"/>
              <w:rPr>
                <w:sz w:val="23"/>
                <w:szCs w:val="2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3,125</w:t>
            </w:r>
          </w:p>
        </w:tc>
        <w:tc>
          <w:tcPr>
            <w:tcW w:w="1660" w:type="dxa"/>
            <w:vAlign w:val="bottom"/>
            <w:gridSpan w:val="2"/>
          </w:tcPr>
          <w:p>
            <w:pPr>
              <w:jc w:val="right"/>
              <w:ind w:right="19"/>
              <w:spacing w:after="0"/>
              <w:rPr>
                <w:sz w:val="20"/>
                <w:szCs w:val="20"/>
                <w:color w:val="auto"/>
              </w:rPr>
            </w:pPr>
            <w:r>
              <w:rPr>
                <w:rFonts w:ascii="Arial" w:cs="Arial" w:eastAsia="Arial" w:hAnsi="Arial"/>
                <w:sz w:val="16"/>
                <w:szCs w:val="16"/>
                <w:color w:val="auto"/>
              </w:rPr>
              <w:t>(1.2)%</w:t>
            </w:r>
          </w:p>
        </w:tc>
        <w:tc>
          <w:tcPr>
            <w:tcW w:w="16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9"/>
        </w:trPr>
        <w:tc>
          <w:tcPr>
            <w:tcW w:w="4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640" w:type="dxa"/>
            <w:vAlign w:val="bottom"/>
          </w:tcPr>
          <w:p>
            <w:pPr>
              <w:spacing w:after="0"/>
              <w:rPr>
                <w:sz w:val="2"/>
                <w:szCs w:val="2"/>
                <w:color w:val="auto"/>
              </w:rPr>
            </w:pPr>
          </w:p>
        </w:tc>
      </w:tr>
      <w:tr>
        <w:trPr>
          <w:trHeight w:val="277"/>
        </w:trPr>
        <w:tc>
          <w:tcPr>
            <w:tcW w:w="4520" w:type="dxa"/>
            <w:vAlign w:val="bottom"/>
            <w:tcBorders>
              <w:bottom w:val="single" w:sz="8" w:color="E4E4E4"/>
            </w:tcBorders>
            <w:shd w:val="clear" w:color="auto" w:fill="E4E4E4"/>
          </w:tcPr>
          <w:p>
            <w:pPr>
              <w:ind w:left="300"/>
              <w:spacing w:after="0"/>
              <w:rPr>
                <w:sz w:val="20"/>
                <w:szCs w:val="20"/>
                <w:color w:val="auto"/>
              </w:rPr>
            </w:pPr>
            <w:r>
              <w:rPr>
                <w:rFonts w:ascii="Arial" w:cs="Arial" w:eastAsia="Arial" w:hAnsi="Arial"/>
                <w:sz w:val="16"/>
                <w:szCs w:val="16"/>
                <w:color w:val="auto"/>
              </w:rPr>
              <w:t>PDx</w:t>
            </w:r>
          </w:p>
        </w:tc>
        <w:tc>
          <w:tcPr>
            <w:tcW w:w="1080" w:type="dxa"/>
            <w:vAlign w:val="bottom"/>
            <w:tcBorders>
              <w:bottom w:val="single" w:sz="8" w:color="E4E4E4"/>
            </w:tcBorders>
            <w:shd w:val="clear" w:color="auto" w:fill="E4E4E4"/>
          </w:tcPr>
          <w:p>
            <w:pPr>
              <w:spacing w:after="0"/>
              <w:rPr>
                <w:sz w:val="24"/>
                <w:szCs w:val="24"/>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2,900</w:t>
            </w:r>
          </w:p>
        </w:tc>
        <w:tc>
          <w:tcPr>
            <w:tcW w:w="260" w:type="dxa"/>
            <w:vAlign w:val="bottom"/>
            <w:tcBorders>
              <w:bottom w:val="single" w:sz="8" w:color="E4E4E4"/>
            </w:tcBorders>
            <w:shd w:val="clear" w:color="auto" w:fill="E4E4E4"/>
          </w:tcPr>
          <w:p>
            <w:pPr>
              <w:spacing w:after="0"/>
              <w:rPr>
                <w:sz w:val="24"/>
                <w:szCs w:val="24"/>
                <w:color w:val="auto"/>
              </w:rPr>
            </w:pPr>
          </w:p>
        </w:tc>
        <w:tc>
          <w:tcPr>
            <w:tcW w:w="150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color w:val="auto"/>
              </w:rPr>
              <w:t>2,508</w:t>
            </w:r>
          </w:p>
        </w:tc>
        <w:tc>
          <w:tcPr>
            <w:tcW w:w="1660" w:type="dxa"/>
            <w:vAlign w:val="bottom"/>
            <w:tcBorders>
              <w:bottom w:val="single" w:sz="8" w:color="E4E4E4"/>
            </w:tcBorders>
            <w:gridSpan w:val="2"/>
            <w:shd w:val="clear" w:color="auto" w:fill="E4E4E4"/>
          </w:tcPr>
          <w:p>
            <w:pPr>
              <w:jc w:val="right"/>
              <w:ind w:right="19"/>
              <w:spacing w:after="0"/>
              <w:rPr>
                <w:sz w:val="20"/>
                <w:szCs w:val="20"/>
                <w:color w:val="auto"/>
              </w:rPr>
            </w:pPr>
            <w:r>
              <w:rPr>
                <w:rFonts w:ascii="Arial" w:cs="Arial" w:eastAsia="Arial" w:hAnsi="Arial"/>
                <w:sz w:val="16"/>
                <w:szCs w:val="16"/>
                <w:color w:val="auto"/>
              </w:rPr>
              <w:t>15.6%</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8.8%</w:t>
            </w:r>
          </w:p>
        </w:tc>
      </w:tr>
      <w:tr>
        <w:trPr>
          <w:trHeight w:val="297"/>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0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52</w:t>
            </w:r>
          </w:p>
        </w:tc>
        <w:tc>
          <w:tcPr>
            <w:tcW w:w="1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70"/>
        </w:trPr>
        <w:tc>
          <w:tcPr>
            <w:tcW w:w="45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1080" w:type="dxa"/>
            <w:vAlign w:val="bottom"/>
            <w:tcBorders>
              <w:bottom w:val="single" w:sz="8" w:color="E4E4E4"/>
            </w:tcBorders>
            <w:shd w:val="clear" w:color="auto" w:fill="E4E4E4"/>
          </w:tcPr>
          <w:p>
            <w:pPr>
              <w:jc w:val="right"/>
              <w:ind w:right="89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20,625</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E4E4E4"/>
            </w:tcBorders>
            <w:gridSpan w:val="2"/>
            <w:shd w:val="clear" w:color="auto" w:fill="E4E4E4"/>
          </w:tcPr>
          <w:p>
            <w:pPr>
              <w:jc w:val="right"/>
              <w:ind w:right="120"/>
              <w:spacing w:after="0"/>
              <w:rPr>
                <w:sz w:val="20"/>
                <w:szCs w:val="20"/>
                <w:color w:val="auto"/>
              </w:rPr>
            </w:pPr>
            <w:r>
              <w:rPr>
                <w:rFonts w:ascii="Arial" w:cs="Arial" w:eastAsia="Arial" w:hAnsi="Arial"/>
                <w:sz w:val="16"/>
                <w:szCs w:val="16"/>
                <w:b w:val="1"/>
                <w:bCs w:val="1"/>
                <w:color w:val="auto"/>
              </w:rPr>
              <w:t>19,672</w:t>
            </w:r>
          </w:p>
        </w:tc>
        <w:tc>
          <w:tcPr>
            <w:tcW w:w="1660" w:type="dxa"/>
            <w:vAlign w:val="bottom"/>
            <w:tcBorders>
              <w:bottom w:val="single" w:sz="8" w:color="E4E4E4"/>
            </w:tcBorders>
            <w:gridSpan w:val="2"/>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4.8%</w:t>
            </w:r>
          </w:p>
        </w:tc>
        <w:tc>
          <w:tcPr>
            <w:tcW w:w="1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w:t>
            </w:r>
          </w:p>
        </w:tc>
      </w:tr>
      <w:tr>
        <w:trPr>
          <w:trHeight w:val="20"/>
        </w:trPr>
        <w:tc>
          <w:tcPr>
            <w:tcW w:w="4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280" w:hanging="252"/>
        <w:spacing w:after="0" w:line="304"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which does not meet the definition of an operating segment.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00" w:type="dxa"/>
            <w:vAlign w:val="bottom"/>
          </w:tcPr>
          <w:p>
            <w:pPr>
              <w:ind w:left="20"/>
              <w:spacing w:after="0"/>
              <w:rPr>
                <w:sz w:val="20"/>
                <w:szCs w:val="20"/>
                <w:color w:val="auto"/>
              </w:rPr>
            </w:pPr>
            <w:r>
              <w:rPr>
                <w:rFonts w:ascii="Arial" w:cs="Arial" w:eastAsia="Arial" w:hAnsi="Arial"/>
                <w:sz w:val="16"/>
                <w:szCs w:val="16"/>
                <w:b w:val="1"/>
                <w:bCs w:val="1"/>
                <w:color w:val="auto"/>
              </w:rPr>
              <w:t>Revenues by Region</w:t>
            </w:r>
          </w:p>
        </w:tc>
        <w:tc>
          <w:tcPr>
            <w:tcW w:w="1160" w:type="dxa"/>
            <w:vAlign w:val="bottom"/>
          </w:tcPr>
          <w:p>
            <w:pPr>
              <w:spacing w:after="0"/>
              <w:rPr>
                <w:sz w:val="21"/>
                <w:szCs w:val="21"/>
                <w:color w:val="auto"/>
              </w:rPr>
            </w:pPr>
          </w:p>
        </w:tc>
        <w:tc>
          <w:tcPr>
            <w:tcW w:w="2880" w:type="dxa"/>
            <w:vAlign w:val="bottom"/>
            <w:gridSpan w:val="3"/>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300" w:type="dxa"/>
            <w:vAlign w:val="bottom"/>
          </w:tcPr>
          <w:p>
            <w:pPr>
              <w:spacing w:after="0"/>
              <w:rPr>
                <w:sz w:val="21"/>
                <w:szCs w:val="21"/>
                <w:color w:val="auto"/>
              </w:rPr>
            </w:pPr>
          </w:p>
        </w:tc>
      </w:tr>
      <w:tr>
        <w:trPr>
          <w:trHeight w:val="21"/>
        </w:trPr>
        <w:tc>
          <w:tcPr>
            <w:tcW w:w="5900" w:type="dxa"/>
            <w:vAlign w:val="bottom"/>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59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ind w:right="1099"/>
              <w:spacing w:after="0"/>
              <w:rPr>
                <w:sz w:val="20"/>
                <w:szCs w:val="20"/>
                <w:color w:val="auto"/>
              </w:rPr>
            </w:pPr>
            <w:r>
              <w:rPr>
                <w:rFonts w:ascii="Arial" w:cs="Arial" w:eastAsia="Arial" w:hAnsi="Arial"/>
                <w:sz w:val="16"/>
                <w:szCs w:val="16"/>
                <w:b w:val="1"/>
                <w:bCs w:val="1"/>
                <w:color w:val="454545"/>
              </w:rPr>
              <w:t>2024</w:t>
            </w:r>
          </w:p>
        </w:tc>
        <w:tc>
          <w:tcPr>
            <w:tcW w:w="1300" w:type="dxa"/>
            <w:vAlign w:val="bottom"/>
          </w:tcPr>
          <w:p>
            <w:pPr>
              <w:jc w:val="right"/>
              <w:ind w:right="3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590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84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57"/>
        </w:trPr>
        <w:tc>
          <w:tcPr>
            <w:tcW w:w="5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United States and Canada (“USCAN”)</w:t>
            </w:r>
          </w:p>
        </w:tc>
        <w:tc>
          <w:tcPr>
            <w:tcW w:w="1160" w:type="dxa"/>
            <w:vAlign w:val="bottom"/>
            <w:tcBorders>
              <w:bottom w:val="single" w:sz="8" w:color="E4E4E4"/>
            </w:tcBorders>
            <w:shd w:val="clear" w:color="auto" w:fill="E4E4E4"/>
          </w:tcPr>
          <w:p>
            <w:pPr>
              <w:jc w:val="right"/>
              <w:ind w:right="95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9,531</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color w:val="auto"/>
              </w:rPr>
              <w:t>8,981</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r>
      <w:tr>
        <w:trPr>
          <w:trHeight w:val="241"/>
        </w:trPr>
        <w:tc>
          <w:tcPr>
            <w:tcW w:w="5900" w:type="dxa"/>
            <w:vAlign w:val="bottom"/>
          </w:tcPr>
          <w:p>
            <w:pPr>
              <w:ind w:left="20"/>
              <w:spacing w:after="0"/>
              <w:rPr>
                <w:sz w:val="20"/>
                <w:szCs w:val="20"/>
                <w:color w:val="auto"/>
              </w:rPr>
            </w:pPr>
            <w:r>
              <w:rPr>
                <w:rFonts w:ascii="Arial" w:cs="Arial" w:eastAsia="Arial" w:hAnsi="Arial"/>
                <w:sz w:val="16"/>
                <w:szCs w:val="16"/>
                <w:color w:val="auto"/>
              </w:rPr>
              <w:t>Europe, the Middle East, and Africa (“EMEA”)</w:t>
            </w:r>
          </w:p>
        </w:tc>
        <w:tc>
          <w:tcPr>
            <w:tcW w:w="1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5,425</w:t>
            </w:r>
          </w:p>
        </w:tc>
        <w:tc>
          <w:tcPr>
            <w:tcW w:w="440" w:type="dxa"/>
            <w:vAlign w:val="bottom"/>
          </w:tcPr>
          <w:p>
            <w:pPr>
              <w:spacing w:after="0"/>
              <w:rPr>
                <w:sz w:val="20"/>
                <w:szCs w:val="20"/>
                <w:color w:val="auto"/>
              </w:rPr>
            </w:pPr>
          </w:p>
        </w:tc>
        <w:tc>
          <w:tcPr>
            <w:tcW w:w="1840" w:type="dxa"/>
            <w:vAlign w:val="bottom"/>
          </w:tcPr>
          <w:p>
            <w:pPr>
              <w:jc w:val="right"/>
              <w:ind w:right="459"/>
              <w:spacing w:after="0"/>
              <w:rPr>
                <w:sz w:val="20"/>
                <w:szCs w:val="20"/>
                <w:color w:val="auto"/>
              </w:rPr>
            </w:pPr>
            <w:r>
              <w:rPr>
                <w:rFonts w:ascii="Arial" w:cs="Arial" w:eastAsia="Arial" w:hAnsi="Arial"/>
                <w:sz w:val="16"/>
                <w:szCs w:val="16"/>
                <w:color w:val="auto"/>
              </w:rPr>
              <w:t>5,051</w:t>
            </w:r>
          </w:p>
        </w:tc>
        <w:tc>
          <w:tcPr>
            <w:tcW w:w="13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42"/>
        </w:trPr>
        <w:tc>
          <w:tcPr>
            <w:tcW w:w="59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64"/>
        </w:trPr>
        <w:tc>
          <w:tcPr>
            <w:tcW w:w="5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China region</w:t>
            </w:r>
          </w:p>
        </w:tc>
        <w:tc>
          <w:tcPr>
            <w:tcW w:w="116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2,251</w:t>
            </w:r>
          </w:p>
        </w:tc>
        <w:tc>
          <w:tcPr>
            <w:tcW w:w="440" w:type="dxa"/>
            <w:vAlign w:val="bottom"/>
            <w:tcBorders>
              <w:bottom w:val="single" w:sz="8" w:color="E4E4E4"/>
            </w:tcBorders>
            <w:shd w:val="clear" w:color="auto" w:fill="E4E4E4"/>
          </w:tcPr>
          <w:p>
            <w:pPr>
              <w:spacing w:after="0"/>
              <w:rPr>
                <w:sz w:val="22"/>
                <w:szCs w:val="22"/>
                <w:color w:val="auto"/>
              </w:rPr>
            </w:pPr>
          </w:p>
        </w:tc>
        <w:tc>
          <w:tcPr>
            <w:tcW w:w="18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color w:val="auto"/>
              </w:rPr>
              <w:t>2,360</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r>
      <w:tr>
        <w:trPr>
          <w:trHeight w:val="241"/>
        </w:trPr>
        <w:tc>
          <w:tcPr>
            <w:tcW w:w="5900" w:type="dxa"/>
            <w:vAlign w:val="bottom"/>
          </w:tcPr>
          <w:p>
            <w:pPr>
              <w:ind w:left="20"/>
              <w:spacing w:after="0"/>
              <w:rPr>
                <w:sz w:val="20"/>
                <w:szCs w:val="20"/>
                <w:color w:val="auto"/>
              </w:rPr>
            </w:pPr>
            <w:r>
              <w:rPr>
                <w:rFonts w:ascii="Arial" w:cs="Arial" w:eastAsia="Arial" w:hAnsi="Arial"/>
                <w:sz w:val="16"/>
                <w:szCs w:val="16"/>
                <w:color w:val="auto"/>
              </w:rPr>
              <w:t>Rest of World</w:t>
            </w:r>
          </w:p>
        </w:tc>
        <w:tc>
          <w:tcPr>
            <w:tcW w:w="1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3,418</w:t>
            </w:r>
          </w:p>
        </w:tc>
        <w:tc>
          <w:tcPr>
            <w:tcW w:w="440" w:type="dxa"/>
            <w:vAlign w:val="bottom"/>
          </w:tcPr>
          <w:p>
            <w:pPr>
              <w:spacing w:after="0"/>
              <w:rPr>
                <w:sz w:val="20"/>
                <w:szCs w:val="20"/>
                <w:color w:val="auto"/>
              </w:rPr>
            </w:pPr>
          </w:p>
        </w:tc>
        <w:tc>
          <w:tcPr>
            <w:tcW w:w="1840" w:type="dxa"/>
            <w:vAlign w:val="bottom"/>
          </w:tcPr>
          <w:p>
            <w:pPr>
              <w:jc w:val="right"/>
              <w:ind w:right="459"/>
              <w:spacing w:after="0"/>
              <w:rPr>
                <w:sz w:val="20"/>
                <w:szCs w:val="20"/>
                <w:color w:val="auto"/>
              </w:rPr>
            </w:pPr>
            <w:r>
              <w:rPr>
                <w:rFonts w:ascii="Arial" w:cs="Arial" w:eastAsia="Arial" w:hAnsi="Arial"/>
                <w:sz w:val="16"/>
                <w:szCs w:val="16"/>
                <w:color w:val="auto"/>
              </w:rPr>
              <w:t>3,280</w:t>
            </w:r>
          </w:p>
        </w:tc>
        <w:tc>
          <w:tcPr>
            <w:tcW w:w="130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42"/>
        </w:trPr>
        <w:tc>
          <w:tcPr>
            <w:tcW w:w="59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57"/>
        </w:trPr>
        <w:tc>
          <w:tcPr>
            <w:tcW w:w="59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revenues</w:t>
            </w:r>
          </w:p>
        </w:tc>
        <w:tc>
          <w:tcPr>
            <w:tcW w:w="1160" w:type="dxa"/>
            <w:vAlign w:val="bottom"/>
            <w:tcBorders>
              <w:bottom w:val="single" w:sz="8" w:color="E4E4E4"/>
            </w:tcBorders>
            <w:shd w:val="clear" w:color="auto" w:fill="E4E4E4"/>
          </w:tcPr>
          <w:p>
            <w:pPr>
              <w:jc w:val="right"/>
              <w:ind w:right="95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20,625</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E4E4E4"/>
            </w:tcBorders>
            <w:shd w:val="clear" w:color="auto" w:fill="E4E4E4"/>
          </w:tcPr>
          <w:p>
            <w:pPr>
              <w:jc w:val="right"/>
              <w:ind w:right="459"/>
              <w:spacing w:after="0"/>
              <w:rPr>
                <w:sz w:val="20"/>
                <w:szCs w:val="20"/>
                <w:color w:val="auto"/>
              </w:rPr>
            </w:pPr>
            <w:r>
              <w:rPr>
                <w:rFonts w:ascii="Arial" w:cs="Arial" w:eastAsia="Arial" w:hAnsi="Arial"/>
                <w:sz w:val="16"/>
                <w:szCs w:val="16"/>
                <w:b w:val="1"/>
                <w:bCs w:val="1"/>
                <w:color w:val="auto"/>
              </w:rPr>
              <w:t>19,672</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4.8%</w:t>
            </w:r>
          </w:p>
        </w:tc>
      </w:tr>
      <w:tr>
        <w:trPr>
          <w:trHeight w:val="20"/>
        </w:trPr>
        <w:tc>
          <w:tcPr>
            <w:tcW w:w="59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year ended December 31, 2025</w:t>
      </w:r>
    </w:p>
    <w:p>
      <w:pPr>
        <w:spacing w:after="0" w:line="17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Total revenues were $20,625 million</w:t>
      </w:r>
      <w:r>
        <w:rPr>
          <w:rFonts w:ascii="Arial" w:cs="Arial" w:eastAsia="Arial" w:hAnsi="Arial"/>
          <w:sz w:val="16"/>
          <w:szCs w:val="16"/>
          <w:color w:val="231F20"/>
        </w:rPr>
        <w:t>,</w:t>
      </w:r>
      <w:r>
        <w:rPr>
          <w:rFonts w:ascii="Arial" w:cs="Arial" w:eastAsia="Arial" w:hAnsi="Arial"/>
          <w:sz w:val="16"/>
          <w:szCs w:val="16"/>
          <w:color w:val="auto"/>
        </w:rPr>
        <w:t xml:space="preserve"> growing 4.8% as reported and 3.5% organically*. Sales of products increased 4.5% or $586 million primarily driven by strong growth in PDx, Imaging, and AVS revenues. </w:t>
      </w:r>
      <w:r>
        <w:rPr>
          <w:rFonts w:ascii="Arial" w:cs="Arial" w:eastAsia="Arial" w:hAnsi="Arial"/>
          <w:sz w:val="16"/>
          <w:szCs w:val="16"/>
          <w:color w:val="231F20"/>
        </w:rPr>
        <w:t>Sales of services increased</w:t>
      </w:r>
      <w:r>
        <w:rPr>
          <w:rFonts w:ascii="Arial" w:cs="Arial" w:eastAsia="Arial" w:hAnsi="Arial"/>
          <w:sz w:val="16"/>
          <w:szCs w:val="16"/>
          <w:color w:val="auto"/>
        </w:rPr>
        <w:t xml:space="preserve"> 5.6% </w:t>
      </w:r>
      <w:r>
        <w:rPr>
          <w:rFonts w:ascii="Arial" w:cs="Arial" w:eastAsia="Arial" w:hAnsi="Arial"/>
          <w:sz w:val="16"/>
          <w:szCs w:val="16"/>
          <w:color w:val="231F20"/>
        </w:rPr>
        <w:t>or $</w:t>
      </w:r>
      <w:r>
        <w:rPr>
          <w:rFonts w:ascii="Arial" w:cs="Arial" w:eastAsia="Arial" w:hAnsi="Arial"/>
          <w:sz w:val="16"/>
          <w:szCs w:val="16"/>
          <w:color w:val="auto"/>
        </w:rPr>
        <w:t xml:space="preserve">368 </w:t>
      </w:r>
      <w:r>
        <w:rPr>
          <w:rFonts w:ascii="Arial" w:cs="Arial" w:eastAsia="Arial" w:hAnsi="Arial"/>
          <w:sz w:val="16"/>
          <w:szCs w:val="16"/>
          <w:color w:val="231F20"/>
        </w:rPr>
        <w:t>million primarily driven by</w:t>
      </w:r>
      <w:r>
        <w:rPr>
          <w:rFonts w:ascii="Arial" w:cs="Arial" w:eastAsia="Arial" w:hAnsi="Arial"/>
          <w:sz w:val="16"/>
          <w:szCs w:val="16"/>
          <w:color w:val="auto"/>
        </w:rPr>
        <w:t xml:space="preserve"> growth in new and existing customer contractual agreements</w:t>
      </w:r>
      <w:r>
        <w:rPr>
          <w:rFonts w:ascii="Arial" w:cs="Arial" w:eastAsia="Arial" w:hAnsi="Arial"/>
          <w:sz w:val="16"/>
          <w:szCs w:val="16"/>
          <w:color w:val="231F20"/>
        </w:rPr>
        <w:t>.</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segment revenues were as follows:</w:t>
      </w:r>
    </w:p>
    <w:p>
      <w:pPr>
        <w:spacing w:after="0" w:line="262" w:lineRule="exact"/>
        <w:rPr>
          <w:sz w:val="20"/>
          <w:szCs w:val="20"/>
          <w:color w:val="auto"/>
        </w:rPr>
      </w:pPr>
    </w:p>
    <w:p>
      <w:pPr>
        <w:ind w:left="660" w:right="360" w:hanging="328"/>
        <w:spacing w:after="0" w:line="304"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Imaging segment revenues were $9,245 million, growing 4.4% or $390 million, with growth in the USCAN and EMEA regions, partially offset by continued pressure in the China market;</w:t>
      </w:r>
    </w:p>
    <w:p>
      <w:pPr>
        <w:spacing w:after="0" w:line="19" w:lineRule="exact"/>
        <w:rPr>
          <w:rFonts w:ascii="Arial" w:cs="Arial" w:eastAsia="Arial" w:hAnsi="Arial"/>
          <w:sz w:val="16"/>
          <w:szCs w:val="16"/>
          <w:color w:val="231F20"/>
        </w:rPr>
      </w:pPr>
    </w:p>
    <w:p>
      <w:pPr>
        <w:ind w:left="660" w:right="100" w:hanging="328"/>
        <w:spacing w:after="0" w:line="286"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AVS segment revenues were $5,354 million, growing 4.3% or $222 million with strength in the U.S. market, partially offset by continued pressure in the China market;</w:t>
      </w:r>
    </w:p>
    <w:p>
      <w:pPr>
        <w:spacing w:after="0" w:line="34" w:lineRule="exact"/>
        <w:rPr>
          <w:rFonts w:ascii="Arial" w:cs="Arial" w:eastAsia="Arial" w:hAnsi="Arial"/>
          <w:sz w:val="16"/>
          <w:szCs w:val="16"/>
          <w:color w:val="231F20"/>
        </w:rPr>
      </w:pPr>
    </w:p>
    <w:p>
      <w:pPr>
        <w:ind w:left="640" w:hanging="308"/>
        <w:spacing w:after="0"/>
        <w:tabs>
          <w:tab w:leader="none" w:pos="640"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PCS segment revenues were $3,086 million, decreasing 1.2% or $38 million, largely driven by a decline in Life Support Solutions revenues; and</w:t>
      </w:r>
    </w:p>
    <w:p>
      <w:pPr>
        <w:spacing w:after="0" w:line="99" w:lineRule="exact"/>
        <w:rPr>
          <w:rFonts w:ascii="Arial" w:cs="Arial" w:eastAsia="Arial" w:hAnsi="Arial"/>
          <w:sz w:val="16"/>
          <w:szCs w:val="16"/>
          <w:color w:val="231F20"/>
        </w:rPr>
      </w:pPr>
    </w:p>
    <w:p>
      <w:pPr>
        <w:ind w:left="660" w:right="660" w:hanging="328"/>
        <w:spacing w:after="0" w:line="304" w:lineRule="auto"/>
        <w:tabs>
          <w:tab w:leader="none" w:pos="649" w:val="left"/>
        </w:tabs>
        <w:numPr>
          <w:ilvl w:val="0"/>
          <w:numId w:val="21"/>
        </w:numPr>
        <w:rPr>
          <w:rFonts w:ascii="Arial" w:cs="Arial" w:eastAsia="Arial" w:hAnsi="Arial"/>
          <w:sz w:val="16"/>
          <w:szCs w:val="16"/>
          <w:color w:val="231F20"/>
        </w:rPr>
      </w:pPr>
      <w:r>
        <w:rPr>
          <w:rFonts w:ascii="Arial" w:cs="Arial" w:eastAsia="Arial" w:hAnsi="Arial"/>
          <w:sz w:val="16"/>
          <w:szCs w:val="16"/>
          <w:color w:val="auto"/>
        </w:rPr>
        <w:t>PDx segment revenues were $2,900 million, growing 15.6% or $392 million as reported, driven by an increase in Organic revenue* and the acquisition of Nihon Medi-Physics Co., Ltd. (“NMP”). Organic revenue* grew 8.8% driven by continued growth in volume and price.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regional revenues were as follows:</w:t>
      </w:r>
    </w:p>
    <w:p>
      <w:pPr>
        <w:spacing w:after="0" w:line="262" w:lineRule="exact"/>
        <w:rPr>
          <w:sz w:val="20"/>
          <w:szCs w:val="20"/>
          <w:color w:val="auto"/>
        </w:rPr>
      </w:pPr>
    </w:p>
    <w:p>
      <w:pPr>
        <w:ind w:left="640" w:hanging="308"/>
        <w:spacing w:after="0"/>
        <w:tabs>
          <w:tab w:leader="none" w:pos="640"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USCAN revenues were $9,531 million, growing 6.1% or $550 million, largely driven by growth across AVS, Imaging, and PDx segment revenues;</w:t>
      </w:r>
    </w:p>
    <w:p>
      <w:pPr>
        <w:spacing w:after="0" w:line="99" w:lineRule="exact"/>
        <w:rPr>
          <w:rFonts w:ascii="Arial" w:cs="Arial" w:eastAsia="Arial" w:hAnsi="Arial"/>
          <w:sz w:val="16"/>
          <w:szCs w:val="16"/>
          <w:color w:val="231F20"/>
        </w:rPr>
      </w:pPr>
    </w:p>
    <w:p>
      <w:pPr>
        <w:ind w:left="660" w:right="280" w:hanging="328"/>
        <w:spacing w:after="0" w:line="286"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EMEA revenues were $5,425 million, growing 7.4% or $374 million with growth in Imaging, AVS, and PDx revenues, as well as favorable foreign currency impacts;</w:t>
      </w:r>
    </w:p>
    <w:p>
      <w:pPr>
        <w:spacing w:after="0" w:line="34" w:lineRule="exact"/>
        <w:rPr>
          <w:rFonts w:ascii="Arial" w:cs="Arial" w:eastAsia="Arial" w:hAnsi="Arial"/>
          <w:sz w:val="16"/>
          <w:szCs w:val="16"/>
          <w:color w:val="231F20"/>
        </w:rPr>
      </w:pPr>
    </w:p>
    <w:p>
      <w:pPr>
        <w:ind w:left="660" w:right="260" w:hanging="328"/>
        <w:spacing w:after="0" w:line="304" w:lineRule="auto"/>
        <w:tabs>
          <w:tab w:leader="none" w:pos="649" w:val="left"/>
        </w:tabs>
        <w:numPr>
          <w:ilvl w:val="0"/>
          <w:numId w:val="22"/>
        </w:numPr>
        <w:rPr>
          <w:rFonts w:ascii="Arial" w:cs="Arial" w:eastAsia="Arial" w:hAnsi="Arial"/>
          <w:sz w:val="16"/>
          <w:szCs w:val="16"/>
          <w:color w:val="231F20"/>
        </w:rPr>
      </w:pPr>
      <w:r>
        <w:rPr>
          <w:rFonts w:ascii="Arial" w:cs="Arial" w:eastAsia="Arial" w:hAnsi="Arial"/>
          <w:sz w:val="16"/>
          <w:szCs w:val="16"/>
          <w:color w:val="auto"/>
        </w:rPr>
        <w:t>China region revenues were $2,251 million, decreasing 4.6% or $108 million with declines in Imaging, AVS, and PCS revenues partially offset by growth in PDx revenues; and</w:t>
      </w:r>
    </w:p>
    <w:p>
      <w:pPr>
        <w:spacing w:after="0" w:line="19" w:lineRule="exact"/>
        <w:rPr>
          <w:rFonts w:ascii="Arial" w:cs="Arial" w:eastAsia="Arial" w:hAnsi="Arial"/>
          <w:sz w:val="16"/>
          <w:szCs w:val="16"/>
          <w:color w:val="231F20"/>
        </w:rPr>
      </w:pPr>
    </w:p>
    <w:p>
      <w:pPr>
        <w:ind w:left="660" w:right="160" w:hanging="328"/>
        <w:spacing w:after="0" w:line="286"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 of World revenues were $3,418 million, growing 4.2% or $138 million with growth in PDx, inclusive of NMP revenues, and Imaging revenues, partially offset by unfavorable foreign currency impacts.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INCOME, NET INCOME ATTRIBUTABLE TO GE HEALTHCARE, ADJUSTED EBIT*, AND ADJUSTED NET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40" w:type="dxa"/>
            <w:vAlign w:val="bottom"/>
          </w:tcPr>
          <w:p>
            <w:pPr>
              <w:spacing w:after="0"/>
              <w:rPr>
                <w:sz w:val="19"/>
                <w:szCs w:val="19"/>
                <w:color w:val="auto"/>
              </w:rPr>
            </w:pPr>
          </w:p>
        </w:tc>
        <w:tc>
          <w:tcPr>
            <w:tcW w:w="3520" w:type="dxa"/>
            <w:vAlign w:val="bottom"/>
            <w:gridSpan w:val="5"/>
          </w:tcPr>
          <w:p>
            <w:pPr>
              <w:jc w:val="right"/>
              <w:ind w:right="39"/>
              <w:spacing w:after="0"/>
              <w:rPr>
                <w:sz w:val="20"/>
                <w:szCs w:val="20"/>
                <w:color w:val="auto"/>
              </w:rPr>
            </w:pPr>
            <w:r>
              <w:rPr>
                <w:rFonts w:ascii="Arial" w:cs="Arial" w:eastAsia="Arial" w:hAnsi="Arial"/>
                <w:sz w:val="16"/>
                <w:szCs w:val="16"/>
                <w:b w:val="1"/>
                <w:bCs w:val="1"/>
                <w:color w:val="454545"/>
              </w:rPr>
              <w:t>For the years ended December 31</w:t>
            </w:r>
          </w:p>
        </w:tc>
        <w:tc>
          <w:tcPr>
            <w:tcW w:w="680" w:type="dxa"/>
            <w:vAlign w:val="bottom"/>
          </w:tcPr>
          <w:p>
            <w:pPr>
              <w:spacing w:after="0"/>
              <w:rPr>
                <w:sz w:val="19"/>
                <w:szCs w:val="19"/>
                <w:color w:val="auto"/>
              </w:rPr>
            </w:pPr>
          </w:p>
        </w:tc>
      </w:tr>
      <w:tr>
        <w:trPr>
          <w:trHeight w:val="21"/>
        </w:trPr>
        <w:tc>
          <w:tcPr>
            <w:tcW w:w="7040" w:type="dxa"/>
            <w:vAlign w:val="bottom"/>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r>
      <w:tr>
        <w:trPr>
          <w:trHeight w:val="209"/>
        </w:trPr>
        <w:tc>
          <w:tcPr>
            <w:tcW w:w="7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 of Total</w:t>
            </w: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w:t>
            </w:r>
          </w:p>
        </w:tc>
      </w:tr>
      <w:tr>
        <w:trPr>
          <w:trHeight w:val="223"/>
        </w:trPr>
        <w:tc>
          <w:tcPr>
            <w:tcW w:w="7040" w:type="dxa"/>
            <w:vAlign w:val="bottom"/>
          </w:tcPr>
          <w:p>
            <w:pPr>
              <w:spacing w:after="0"/>
              <w:rPr>
                <w:sz w:val="19"/>
                <w:szCs w:val="19"/>
                <w:color w:val="auto"/>
              </w:rPr>
            </w:pPr>
          </w:p>
        </w:tc>
        <w:tc>
          <w:tcPr>
            <w:tcW w:w="8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20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454545"/>
              </w:rPr>
              <w:t>revenues</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454545"/>
              </w:rPr>
              <w:t>change</w:t>
            </w:r>
          </w:p>
        </w:tc>
      </w:tr>
      <w:tr>
        <w:trPr>
          <w:trHeight w:val="21"/>
        </w:trPr>
        <w:tc>
          <w:tcPr>
            <w:tcW w:w="704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r>
      <w:tr>
        <w:trPr>
          <w:trHeight w:val="257"/>
        </w:trPr>
        <w:tc>
          <w:tcPr>
            <w:tcW w:w="7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income</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    2,763</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2,625</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13.3%</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r>
      <w:tr>
        <w:trPr>
          <w:trHeight w:val="228"/>
        </w:trPr>
        <w:tc>
          <w:tcPr>
            <w:tcW w:w="7040" w:type="dxa"/>
            <w:vAlign w:val="bottom"/>
          </w:tcPr>
          <w:p>
            <w:pPr>
              <w:ind w:left="20"/>
              <w:spacing w:after="0"/>
              <w:rPr>
                <w:sz w:val="20"/>
                <w:szCs w:val="20"/>
                <w:color w:val="auto"/>
              </w:rPr>
            </w:pPr>
            <w:r>
              <w:rPr>
                <w:rFonts w:ascii="Arial" w:cs="Arial" w:eastAsia="Arial" w:hAnsi="Arial"/>
                <w:sz w:val="16"/>
                <w:szCs w:val="16"/>
                <w:color w:val="auto"/>
              </w:rPr>
              <w:t>Net income attributable to GE HealthCare</w:t>
            </w:r>
          </w:p>
        </w:tc>
        <w:tc>
          <w:tcPr>
            <w:tcW w:w="880" w:type="dxa"/>
            <w:vAlign w:val="bottom"/>
          </w:tcPr>
          <w:p>
            <w:pPr>
              <w:jc w:val="right"/>
              <w:spacing w:after="0"/>
              <w:rPr>
                <w:sz w:val="20"/>
                <w:szCs w:val="20"/>
                <w:color w:val="auto"/>
              </w:rPr>
            </w:pPr>
            <w:r>
              <w:rPr>
                <w:rFonts w:ascii="Arial" w:cs="Arial" w:eastAsia="Arial" w:hAnsi="Arial"/>
                <w:sz w:val="16"/>
                <w:szCs w:val="16"/>
                <w:color w:val="auto"/>
              </w:rPr>
              <w:t>2,084</w:t>
            </w:r>
          </w:p>
        </w:tc>
        <w:tc>
          <w:tcPr>
            <w:tcW w:w="860" w:type="dxa"/>
            <w:vAlign w:val="bottom"/>
          </w:tcPr>
          <w:p>
            <w:pPr>
              <w:jc w:val="right"/>
              <w:spacing w:after="0"/>
              <w:rPr>
                <w:sz w:val="20"/>
                <w:szCs w:val="20"/>
                <w:color w:val="auto"/>
              </w:rPr>
            </w:pPr>
            <w:r>
              <w:rPr>
                <w:rFonts w:ascii="Arial" w:cs="Arial" w:eastAsia="Arial" w:hAnsi="Arial"/>
                <w:sz w:val="16"/>
                <w:szCs w:val="16"/>
                <w:color w:val="auto"/>
              </w:rPr>
              <w:t>10.1%</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1,993</w:t>
            </w:r>
          </w:p>
        </w:tc>
        <w:tc>
          <w:tcPr>
            <w:tcW w:w="880" w:type="dxa"/>
            <w:vAlign w:val="bottom"/>
          </w:tcPr>
          <w:p>
            <w:pPr>
              <w:jc w:val="right"/>
              <w:spacing w:after="0"/>
              <w:rPr>
                <w:sz w:val="20"/>
                <w:szCs w:val="20"/>
                <w:color w:val="auto"/>
              </w:rPr>
            </w:pPr>
            <w:r>
              <w:rPr>
                <w:rFonts w:ascii="Arial" w:cs="Arial" w:eastAsia="Arial" w:hAnsi="Arial"/>
                <w:sz w:val="16"/>
                <w:szCs w:val="16"/>
                <w:color w:val="auto"/>
              </w:rPr>
              <w:t>10.1%</w:t>
            </w:r>
          </w:p>
        </w:tc>
        <w:tc>
          <w:tcPr>
            <w:tcW w:w="6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9"/>
        </w:trPr>
        <w:tc>
          <w:tcPr>
            <w:tcW w:w="7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63"/>
        </w:trPr>
        <w:tc>
          <w:tcPr>
            <w:tcW w:w="7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Adjusted EBIT*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3,155</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15.3%</w:t>
            </w:r>
          </w:p>
        </w:tc>
        <w:tc>
          <w:tcPr>
            <w:tcW w:w="20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3,211</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16.3%</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r>
      <w:tr>
        <w:trPr>
          <w:trHeight w:val="255"/>
        </w:trPr>
        <w:tc>
          <w:tcPr>
            <w:tcW w:w="704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880" w:type="dxa"/>
            <w:vAlign w:val="bottom"/>
          </w:tcPr>
          <w:p>
            <w:pPr>
              <w:jc w:val="right"/>
              <w:spacing w:after="0"/>
              <w:rPr>
                <w:sz w:val="20"/>
                <w:szCs w:val="20"/>
                <w:color w:val="auto"/>
              </w:rPr>
            </w:pPr>
            <w:r>
              <w:rPr>
                <w:rFonts w:ascii="Arial" w:cs="Arial" w:eastAsia="Arial" w:hAnsi="Arial"/>
                <w:sz w:val="16"/>
                <w:szCs w:val="16"/>
                <w:color w:val="auto"/>
              </w:rPr>
              <w:t>2,100</w:t>
            </w:r>
          </w:p>
        </w:tc>
        <w:tc>
          <w:tcPr>
            <w:tcW w:w="860" w:type="dxa"/>
            <w:vAlign w:val="bottom"/>
          </w:tcPr>
          <w:p>
            <w:pPr>
              <w:jc w:val="right"/>
              <w:spacing w:after="0"/>
              <w:rPr>
                <w:sz w:val="20"/>
                <w:szCs w:val="20"/>
                <w:color w:val="auto"/>
              </w:rPr>
            </w:pPr>
            <w:r>
              <w:rPr>
                <w:rFonts w:ascii="Arial" w:cs="Arial" w:eastAsia="Arial" w:hAnsi="Arial"/>
                <w:sz w:val="16"/>
                <w:szCs w:val="16"/>
                <w:color w:val="auto"/>
              </w:rPr>
              <w:t>10.2%</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2,060</w:t>
            </w:r>
          </w:p>
        </w:tc>
        <w:tc>
          <w:tcPr>
            <w:tcW w:w="880" w:type="dxa"/>
            <w:vAlign w:val="bottom"/>
          </w:tcPr>
          <w:p>
            <w:pPr>
              <w:jc w:val="right"/>
              <w:spacing w:after="0"/>
              <w:rPr>
                <w:sz w:val="20"/>
                <w:szCs w:val="20"/>
                <w:color w:val="auto"/>
              </w:rPr>
            </w:pPr>
            <w:r>
              <w:rPr>
                <w:rFonts w:ascii="Arial" w:cs="Arial" w:eastAsia="Arial" w:hAnsi="Arial"/>
                <w:sz w:val="16"/>
                <w:szCs w:val="16"/>
                <w:color w:val="auto"/>
              </w:rPr>
              <w:t>10.5%</w:t>
            </w:r>
          </w:p>
        </w:tc>
        <w:tc>
          <w:tcPr>
            <w:tcW w:w="68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9"/>
        </w:trPr>
        <w:tc>
          <w:tcPr>
            <w:tcW w:w="7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year ended December 31, 2025</w:t>
      </w:r>
    </w:p>
    <w:p>
      <w:pPr>
        <w:spacing w:after="0" w:line="26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Operating income was $2,763 million, an increase of $138 million and 10 basis points as a percent of Total revenues. The increase was due to the following factors:</w:t>
      </w:r>
    </w:p>
    <w:p>
      <w:pPr>
        <w:spacing w:after="0" w:line="196" w:lineRule="exact"/>
        <w:rPr>
          <w:sz w:val="20"/>
          <w:szCs w:val="20"/>
          <w:color w:val="auto"/>
        </w:rPr>
      </w:pPr>
    </w:p>
    <w:p>
      <w:pPr>
        <w:ind w:left="660" w:right="240" w:hanging="328"/>
        <w:spacing w:after="0" w:line="269" w:lineRule="auto"/>
        <w:tabs>
          <w:tab w:leader="none" w:pos="649" w:val="left"/>
        </w:tabs>
        <w:numPr>
          <w:ilvl w:val="0"/>
          <w:numId w:val="23"/>
        </w:numPr>
        <w:rPr>
          <w:rFonts w:ascii="Arial" w:cs="Arial" w:eastAsia="Arial" w:hAnsi="Arial"/>
          <w:sz w:val="16"/>
          <w:szCs w:val="16"/>
          <w:color w:val="231F20"/>
        </w:rPr>
      </w:pPr>
      <w:r>
        <w:rPr>
          <w:rFonts w:ascii="Arial" w:cs="Arial" w:eastAsia="Arial" w:hAnsi="Arial"/>
          <w:sz w:val="16"/>
          <w:szCs w:val="16"/>
          <w:color w:val="auto"/>
        </w:rPr>
        <w:t xml:space="preserve">Gross profit increased $43 million, but decreased 170 basis points as a percent of Total revenues primarily due to an increase in both Cost of products and Cost of services as a percent of Total revenues. Cost of products sold increased $671 million or 220 basis points as a percent of Sales of products. The increase as a percent of sales was driven by cost inflation, including the impact of incremental tariffs, and investment in design follow-through, partially offset by cost productivity. Cost of services sold increased $240 million or 90 basis points as a percent of Sales of services. The increase as a percent of sales was driven by unfavorable mix within our service offerings, and cost inflation, including the impact of incremental tariffs, partially offset by an increase in pricing of our service offerings. Included in our total cost of revenues as part of our product investment was $490 million in engineering costs for design follow-through on new product introductions and product lifecycle maintenance subsequent to the initial product launch, compared to $405 million for the </w:t>
      </w:r>
      <w:r>
        <w:rPr>
          <w:rFonts w:ascii="Arial" w:cs="Arial" w:eastAsia="Arial" w:hAnsi="Arial"/>
          <w:sz w:val="16"/>
          <w:szCs w:val="16"/>
          <w:color w:val="231F20"/>
        </w:rPr>
        <w:t>prior year comparable period</w:t>
      </w:r>
      <w:r>
        <w:rPr>
          <w:rFonts w:ascii="Arial" w:cs="Arial" w:eastAsia="Arial" w:hAnsi="Arial"/>
          <w:sz w:val="16"/>
          <w:szCs w:val="16"/>
          <w:color w:val="auto"/>
        </w:rPr>
        <w:t>; and</w:t>
      </w:r>
    </w:p>
    <w:p>
      <w:pPr>
        <w:spacing w:after="0" w:line="51" w:lineRule="exact"/>
        <w:rPr>
          <w:rFonts w:ascii="Arial" w:cs="Arial" w:eastAsia="Arial" w:hAnsi="Arial"/>
          <w:sz w:val="16"/>
          <w:szCs w:val="16"/>
          <w:color w:val="231F20"/>
        </w:rPr>
      </w:pPr>
    </w:p>
    <w:p>
      <w:pPr>
        <w:ind w:left="660" w:right="20" w:hanging="328"/>
        <w:spacing w:after="0" w:line="26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operating expenses decreased $95 million, with a decrease in research and development (“R&amp;D”) investments of $51 million, driven by certain programs achieving development milestones resulting in costs to be reported under cost of revenues, and a decrease in Selling, general, and administrative (“SG&amp;A”) expense of $44 million primarily driven by a decrease in Spin-Off and separation costs, partially offset by increased investment in our commercial teams and the acquisition of NMP. R&amp;D as a percentage of Total revenues decreased by 60 basis points and SG&amp;A as a percentage of Total revenues decreased by 120 basis points.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Net income attributable to GE HealthCare and Net income margin were $2,084 million and 10.1%, an increase of $91 million and flat to the prior year, respectively, primarily due to the following factors:</w:t>
      </w:r>
    </w:p>
    <w:p>
      <w:pPr>
        <w:spacing w:after="0" w:line="196" w:lineRule="exact"/>
        <w:rPr>
          <w:sz w:val="20"/>
          <w:szCs w:val="20"/>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Operating income increased $138 million, as discussed above;</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Interest and other financial charges – net decreased $64 million primarily driven by debt repayment and continued optimization;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Non-operating benefit income decreased $118 million primarily related to lower expected returns on plan assets and increased interest cost;</w:t>
      </w:r>
    </w:p>
    <w:p>
      <w:pPr>
        <w:spacing w:after="0" w:line="113" w:lineRule="exact"/>
        <w:rPr>
          <w:rFonts w:ascii="Arial" w:cs="Arial" w:eastAsia="Arial" w:hAnsi="Arial"/>
          <w:sz w:val="16"/>
          <w:szCs w:val="16"/>
          <w:color w:val="auto"/>
        </w:rPr>
      </w:pPr>
    </w:p>
    <w:p>
      <w:pPr>
        <w:ind w:left="660" w:hanging="328"/>
        <w:spacing w:after="0" w:line="26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income – net increased $103 million primarily driven by the remeasurement of the Company’s 50% interest in NMP based on the cash consideration exchanged for acquiring the remaining 50% equity interest. For additional detail on the NMP acquisition, refer to Note 8, “Acquisitions, Goodwill, and Other Intangible Assets”; and</w:t>
      </w:r>
    </w:p>
    <w:p>
      <w:pPr>
        <w:spacing w:after="0" w:line="49" w:lineRule="exact"/>
        <w:rPr>
          <w:rFonts w:ascii="Arial" w:cs="Arial" w:eastAsia="Arial" w:hAnsi="Arial"/>
          <w:sz w:val="16"/>
          <w:szCs w:val="16"/>
          <w:color w:val="auto"/>
        </w:rPr>
      </w:pPr>
    </w:p>
    <w:p>
      <w:pPr>
        <w:ind w:left="660" w:right="60" w:hanging="328"/>
        <w:spacing w:after="0" w:line="265"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Provision for income taxes increased $83 million primarily due to U.S. and foreign tax law changes partially offset by a reduction in non-recurring impacts from the Tax Matters Agreement with GE, foreign income tax reserve releases for tax years which are no longer subject to an assessment from the local taxing authorities, and the use of tax attributes from updating our global structure following the Spin-Off. In the prior year, there was a large non-recurring decrease related to the release of the France valuation allowance, partially offset by the establishment of a reserve for ongoing audits in France. For additional detail regarding our income taxes, see Note 11, “Income Taxes.”</w:t>
      </w:r>
    </w:p>
    <w:p>
      <w:pPr>
        <w:spacing w:after="0" w:line="199"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Adjusted EBIT* and Adjusted EBIT margin* were $3,155 million and 15.3%, a decrease of $56 million and 100 basis points, respectively, primarily due to an increase in Total operating expenses, excluding the impact of Spin-Off and separation costs, partially offset by an increase in Gross profit, as discussed above.</w:t>
      </w:r>
    </w:p>
    <w:p>
      <w:pPr>
        <w:spacing w:after="0" w:line="20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Adjusted net income* was $2,100 million, an increase of $40 million primarily due to lower Interest and other financial charges – net and lower Adjusted tax expense*, partially offset by a decrease in operating income when excluding the impact of lower Spin-Off and separation costs.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RESULTS OF OPERATIONS </w:t>
      </w:r>
      <w:r>
        <w:rPr>
          <w:rFonts w:ascii="Arial" w:cs="Arial" w:eastAsia="Arial" w:hAnsi="Arial"/>
          <w:sz w:val="19"/>
          <w:szCs w:val="19"/>
          <w:color w:val="auto"/>
        </w:rPr>
        <w:t>–</w:t>
      </w:r>
      <w:r>
        <w:rPr>
          <w:rFonts w:ascii="Arial" w:cs="Arial" w:eastAsia="Arial" w:hAnsi="Arial"/>
          <w:sz w:val="18"/>
          <w:szCs w:val="18"/>
          <w:b w:val="1"/>
          <w:bCs w:val="1"/>
          <w:color w:val="auto"/>
        </w:rPr>
        <w:t xml:space="preserve"> SEGMENTS</w:t>
      </w:r>
    </w:p>
    <w:p>
      <w:pPr>
        <w:spacing w:after="0" w:line="275"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exclude from Segment EBIT certain corporate-related expenses and certain transactions or adjustments that our Chief Operating Decision Maker (which is our Chief Executive Officer) considers to be non-operational, such as Interest and other financial charges – net, Benefit (provision) for income taxes, restructuring costs, acquisition and disposition-related benefits (charges), Spin-Off and separation costs, Non-operating benefit (income) costs, gain (loss) on business and asset dispositions, amortization of acquisition-related intangible assets, Net (income) loss attributable to noncontrolling interests, Income (loss) from discontinued operations, net of taxes, and investment revaluation gain (loss). See Note 4, “Segment and Geographical Information” for additional information on our reportable segments, and “Results of Operations” above for discussion on segment revenue performance.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6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20" w:type="dxa"/>
            <w:vAlign w:val="bottom"/>
            <w:gridSpan w:val="3"/>
          </w:tcPr>
          <w:p>
            <w:pPr>
              <w:jc w:val="right"/>
              <w:ind w:right="999"/>
              <w:spacing w:after="0"/>
              <w:rPr>
                <w:sz w:val="20"/>
                <w:szCs w:val="20"/>
                <w:color w:val="auto"/>
              </w:rPr>
            </w:pPr>
            <w:r>
              <w:rPr>
                <w:rFonts w:ascii="Arial" w:cs="Arial" w:eastAsia="Arial" w:hAnsi="Arial"/>
                <w:sz w:val="16"/>
                <w:szCs w:val="16"/>
                <w:b w:val="1"/>
                <w:bCs w:val="1"/>
                <w:color w:val="454545"/>
              </w:rPr>
              <w:t>For the years ended December 31</w:t>
            </w:r>
          </w:p>
        </w:tc>
        <w:tc>
          <w:tcPr>
            <w:tcW w:w="1360" w:type="dxa"/>
            <w:vAlign w:val="bottom"/>
          </w:tcPr>
          <w:p>
            <w:pPr>
              <w:spacing w:after="0"/>
              <w:rPr>
                <w:sz w:val="19"/>
                <w:szCs w:val="19"/>
                <w:color w:val="auto"/>
              </w:rPr>
            </w:pPr>
          </w:p>
        </w:tc>
      </w:tr>
      <w:tr>
        <w:trPr>
          <w:trHeight w:val="48"/>
        </w:trPr>
        <w:tc>
          <w:tcPr>
            <w:tcW w:w="3760" w:type="dxa"/>
            <w:vAlign w:val="bottom"/>
          </w:tcPr>
          <w:p>
            <w:pPr>
              <w:spacing w:after="0"/>
              <w:rPr>
                <w:sz w:val="4"/>
                <w:szCs w:val="4"/>
                <w:color w:val="auto"/>
              </w:rPr>
            </w:pPr>
          </w:p>
        </w:tc>
        <w:tc>
          <w:tcPr>
            <w:tcW w:w="920" w:type="dxa"/>
            <w:vAlign w:val="bottom"/>
            <w:tcBorders>
              <w:bottom w:val="single" w:sz="8" w:color="454545"/>
            </w:tcBorders>
          </w:tcPr>
          <w:p>
            <w:pPr>
              <w:spacing w:after="0"/>
              <w:rPr>
                <w:sz w:val="4"/>
                <w:szCs w:val="4"/>
                <w:color w:val="auto"/>
              </w:rPr>
            </w:pPr>
          </w:p>
        </w:tc>
        <w:tc>
          <w:tcPr>
            <w:tcW w:w="580" w:type="dxa"/>
            <w:vAlign w:val="bottom"/>
            <w:tcBorders>
              <w:bottom w:val="single" w:sz="8" w:color="454545"/>
            </w:tcBorders>
          </w:tcPr>
          <w:p>
            <w:pPr>
              <w:spacing w:after="0"/>
              <w:rPr>
                <w:sz w:val="4"/>
                <w:szCs w:val="4"/>
                <w:color w:val="auto"/>
              </w:rPr>
            </w:pPr>
          </w:p>
        </w:tc>
        <w:tc>
          <w:tcPr>
            <w:tcW w:w="1780" w:type="dxa"/>
            <w:vAlign w:val="bottom"/>
            <w:tcBorders>
              <w:bottom w:val="single" w:sz="8" w:color="454545"/>
            </w:tcBorders>
          </w:tcPr>
          <w:p>
            <w:pPr>
              <w:spacing w:after="0"/>
              <w:rPr>
                <w:sz w:val="4"/>
                <w:szCs w:val="4"/>
                <w:color w:val="auto"/>
              </w:rPr>
            </w:pPr>
          </w:p>
        </w:tc>
        <w:tc>
          <w:tcPr>
            <w:tcW w:w="1180" w:type="dxa"/>
            <w:vAlign w:val="bottom"/>
            <w:tcBorders>
              <w:bottom w:val="single" w:sz="8" w:color="454545"/>
            </w:tcBorders>
          </w:tcPr>
          <w:p>
            <w:pPr>
              <w:spacing w:after="0"/>
              <w:rPr>
                <w:sz w:val="4"/>
                <w:szCs w:val="4"/>
                <w:color w:val="auto"/>
              </w:rPr>
            </w:pPr>
          </w:p>
        </w:tc>
        <w:tc>
          <w:tcPr>
            <w:tcW w:w="1660" w:type="dxa"/>
            <w:vAlign w:val="bottom"/>
            <w:tcBorders>
              <w:bottom w:val="single" w:sz="8" w:color="454545"/>
            </w:tcBorders>
          </w:tcPr>
          <w:p>
            <w:pPr>
              <w:spacing w:after="0"/>
              <w:rPr>
                <w:sz w:val="4"/>
                <w:szCs w:val="4"/>
                <w:color w:val="auto"/>
              </w:rPr>
            </w:pPr>
          </w:p>
        </w:tc>
        <w:tc>
          <w:tcPr>
            <w:tcW w:w="1360" w:type="dxa"/>
            <w:vAlign w:val="bottom"/>
            <w:tcBorders>
              <w:bottom w:val="single" w:sz="8" w:color="454545"/>
            </w:tcBorders>
          </w:tcPr>
          <w:p>
            <w:pPr>
              <w:spacing w:after="0"/>
              <w:rPr>
                <w:sz w:val="4"/>
                <w:szCs w:val="4"/>
                <w:color w:val="auto"/>
              </w:rPr>
            </w:pPr>
          </w:p>
        </w:tc>
      </w:tr>
      <w:tr>
        <w:trPr>
          <w:trHeight w:val="209"/>
        </w:trPr>
        <w:tc>
          <w:tcPr>
            <w:tcW w:w="3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80" w:type="dxa"/>
            <w:vAlign w:val="bottom"/>
          </w:tcPr>
          <w:p>
            <w:pPr>
              <w:jc w:val="right"/>
              <w:ind w:right="479"/>
              <w:spacing w:after="0"/>
              <w:rPr>
                <w:sz w:val="20"/>
                <w:szCs w:val="20"/>
                <w:color w:val="auto"/>
              </w:rPr>
            </w:pPr>
            <w:r>
              <w:rPr>
                <w:rFonts w:ascii="Arial" w:cs="Arial" w:eastAsia="Arial" w:hAnsi="Arial"/>
                <w:sz w:val="16"/>
                <w:szCs w:val="16"/>
                <w:b w:val="1"/>
                <w:bCs w:val="1"/>
                <w:color w:val="454545"/>
              </w:rPr>
              <w:t>% of segment</w:t>
            </w:r>
          </w:p>
        </w:tc>
        <w:tc>
          <w:tcPr>
            <w:tcW w:w="1180" w:type="dxa"/>
            <w:vAlign w:val="bottom"/>
          </w:tcPr>
          <w:p>
            <w:pPr>
              <w:spacing w:after="0"/>
              <w:rPr>
                <w:sz w:val="18"/>
                <w:szCs w:val="18"/>
                <w:color w:val="auto"/>
              </w:rPr>
            </w:pPr>
          </w:p>
        </w:tc>
        <w:tc>
          <w:tcPr>
            <w:tcW w:w="1660" w:type="dxa"/>
            <w:vAlign w:val="bottom"/>
          </w:tcPr>
          <w:p>
            <w:pPr>
              <w:jc w:val="right"/>
              <w:ind w:right="359"/>
              <w:spacing w:after="0"/>
              <w:rPr>
                <w:sz w:val="20"/>
                <w:szCs w:val="20"/>
                <w:color w:val="auto"/>
              </w:rPr>
            </w:pPr>
            <w:r>
              <w:rPr>
                <w:rFonts w:ascii="Arial" w:cs="Arial" w:eastAsia="Arial" w:hAnsi="Arial"/>
                <w:sz w:val="16"/>
                <w:szCs w:val="16"/>
                <w:b w:val="1"/>
                <w:bCs w:val="1"/>
                <w:color w:val="454545"/>
              </w:rPr>
              <w:t>% of segment</w:t>
            </w:r>
          </w:p>
        </w:tc>
        <w:tc>
          <w:tcPr>
            <w:tcW w:w="1360" w:type="dxa"/>
            <w:vAlign w:val="bottom"/>
          </w:tcPr>
          <w:p>
            <w:pPr>
              <w:spacing w:after="0"/>
              <w:rPr>
                <w:sz w:val="18"/>
                <w:szCs w:val="18"/>
                <w:color w:val="auto"/>
              </w:rPr>
            </w:pPr>
          </w:p>
        </w:tc>
      </w:tr>
      <w:tr>
        <w:trPr>
          <w:trHeight w:val="223"/>
        </w:trPr>
        <w:tc>
          <w:tcPr>
            <w:tcW w:w="37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580" w:type="dxa"/>
            <w:vAlign w:val="bottom"/>
          </w:tcPr>
          <w:p>
            <w:pPr>
              <w:spacing w:after="0"/>
              <w:rPr>
                <w:sz w:val="19"/>
                <w:szCs w:val="19"/>
                <w:color w:val="auto"/>
              </w:rPr>
            </w:pPr>
          </w:p>
        </w:tc>
        <w:tc>
          <w:tcPr>
            <w:tcW w:w="1780" w:type="dxa"/>
            <w:vAlign w:val="bottom"/>
          </w:tcPr>
          <w:p>
            <w:pPr>
              <w:jc w:val="right"/>
              <w:ind w:right="639"/>
              <w:spacing w:after="0"/>
              <w:rPr>
                <w:sz w:val="20"/>
                <w:szCs w:val="20"/>
                <w:color w:val="auto"/>
              </w:rPr>
            </w:pPr>
            <w:r>
              <w:rPr>
                <w:rFonts w:ascii="Arial" w:cs="Arial" w:eastAsia="Arial" w:hAnsi="Arial"/>
                <w:sz w:val="16"/>
                <w:szCs w:val="16"/>
                <w:b w:val="1"/>
                <w:bCs w:val="1"/>
                <w:color w:val="454545"/>
              </w:rPr>
              <w:t>revenues</w:t>
            </w: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2024</w:t>
            </w:r>
          </w:p>
        </w:tc>
        <w:tc>
          <w:tcPr>
            <w:tcW w:w="1660" w:type="dxa"/>
            <w:vAlign w:val="bottom"/>
          </w:tcPr>
          <w:p>
            <w:pPr>
              <w:jc w:val="right"/>
              <w:ind w:right="539"/>
              <w:spacing w:after="0"/>
              <w:rPr>
                <w:sz w:val="20"/>
                <w:szCs w:val="20"/>
                <w:color w:val="auto"/>
              </w:rPr>
            </w:pPr>
            <w:r>
              <w:rPr>
                <w:rFonts w:ascii="Arial" w:cs="Arial" w:eastAsia="Arial" w:hAnsi="Arial"/>
                <w:sz w:val="16"/>
                <w:szCs w:val="16"/>
                <w:b w:val="1"/>
                <w:bCs w:val="1"/>
                <w:color w:val="454545"/>
              </w:rPr>
              <w:t>revenues</w:t>
            </w:r>
          </w:p>
        </w:tc>
        <w:tc>
          <w:tcPr>
            <w:tcW w:w="1360" w:type="dxa"/>
            <w:vAlign w:val="bottom"/>
          </w:tcPr>
          <w:p>
            <w:pPr>
              <w:jc w:val="right"/>
              <w:ind w:right="29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37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780" w:type="dxa"/>
            <w:vAlign w:val="bottom"/>
            <w:tcBorders>
              <w:bottom w:val="single" w:sz="8" w:color="6022A6"/>
            </w:tcBorders>
          </w:tcPr>
          <w:p>
            <w:pPr>
              <w:spacing w:after="0" w:line="20" w:lineRule="exact"/>
              <w:rPr>
                <w:sz w:val="1"/>
                <w:szCs w:val="1"/>
                <w:color w:val="auto"/>
              </w:rPr>
            </w:pPr>
          </w:p>
        </w:tc>
        <w:tc>
          <w:tcPr>
            <w:tcW w:w="1180" w:type="dxa"/>
            <w:vAlign w:val="bottom"/>
            <w:tcBorders>
              <w:bottom w:val="single" w:sz="8" w:color="6022A6"/>
            </w:tcBorders>
          </w:tcPr>
          <w:p>
            <w:pPr>
              <w:spacing w:after="0" w:line="20" w:lineRule="exact"/>
              <w:rPr>
                <w:sz w:val="1"/>
                <w:szCs w:val="1"/>
                <w:color w:val="auto"/>
              </w:rPr>
            </w:pPr>
          </w:p>
        </w:tc>
        <w:tc>
          <w:tcPr>
            <w:tcW w:w="1660" w:type="dxa"/>
            <w:vAlign w:val="bottom"/>
            <w:tcBorders>
              <w:bottom w:val="single" w:sz="8" w:color="6022A6"/>
            </w:tcBorders>
          </w:tcPr>
          <w:p>
            <w:pPr>
              <w:spacing w:after="0" w:line="20" w:lineRule="exact"/>
              <w:rPr>
                <w:sz w:val="1"/>
                <w:szCs w:val="1"/>
                <w:color w:val="auto"/>
              </w:rPr>
            </w:pPr>
          </w:p>
        </w:tc>
        <w:tc>
          <w:tcPr>
            <w:tcW w:w="1360" w:type="dxa"/>
            <w:vAlign w:val="bottom"/>
            <w:tcBorders>
              <w:bottom w:val="single" w:sz="8" w:color="6022A6"/>
            </w:tcBorders>
          </w:tcPr>
          <w:p>
            <w:pPr>
              <w:spacing w:after="0" w:line="20" w:lineRule="exact"/>
              <w:rPr>
                <w:sz w:val="1"/>
                <w:szCs w:val="1"/>
                <w:color w:val="auto"/>
              </w:rPr>
            </w:pPr>
          </w:p>
        </w:tc>
      </w:tr>
      <w:tr>
        <w:trPr>
          <w:trHeight w:val="257"/>
        </w:trPr>
        <w:tc>
          <w:tcPr>
            <w:tcW w:w="3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920" w:type="dxa"/>
            <w:vAlign w:val="bottom"/>
            <w:tcBorders>
              <w:bottom w:val="single" w:sz="8" w:color="E4E4E4"/>
            </w:tcBorders>
            <w:shd w:val="clear" w:color="auto" w:fill="E4E4E4"/>
          </w:tcPr>
          <w:p>
            <w:pPr>
              <w:jc w:val="right"/>
              <w:ind w:right="73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891</w:t>
            </w:r>
          </w:p>
        </w:tc>
        <w:tc>
          <w:tcPr>
            <w:tcW w:w="17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9.6 % $</w:t>
            </w:r>
          </w:p>
        </w:tc>
        <w:tc>
          <w:tcPr>
            <w:tcW w:w="11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962</w:t>
            </w:r>
          </w:p>
        </w:tc>
        <w:tc>
          <w:tcPr>
            <w:tcW w:w="16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10.9 %</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w:t>
            </w:r>
          </w:p>
        </w:tc>
      </w:tr>
      <w:tr>
        <w:trPr>
          <w:trHeight w:val="255"/>
        </w:trPr>
        <w:tc>
          <w:tcPr>
            <w:tcW w:w="3760" w:type="dxa"/>
            <w:vAlign w:val="bottom"/>
          </w:tcPr>
          <w:p>
            <w:pPr>
              <w:ind w:left="20"/>
              <w:spacing w:after="0"/>
              <w:rPr>
                <w:sz w:val="20"/>
                <w:szCs w:val="20"/>
                <w:color w:val="auto"/>
              </w:rPr>
            </w:pPr>
            <w:r>
              <w:rPr>
                <w:rFonts w:ascii="Arial" w:cs="Arial" w:eastAsia="Arial" w:hAnsi="Arial"/>
                <w:sz w:val="16"/>
                <w:szCs w:val="16"/>
                <w:color w:val="auto"/>
              </w:rPr>
              <w:t>AVS</w:t>
            </w:r>
          </w:p>
        </w:tc>
        <w:tc>
          <w:tcPr>
            <w:tcW w:w="920" w:type="dxa"/>
            <w:vAlign w:val="bottom"/>
          </w:tcPr>
          <w:p>
            <w:pPr>
              <w:spacing w:after="0"/>
              <w:rPr>
                <w:sz w:val="22"/>
                <w:szCs w:val="22"/>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1,175</w:t>
            </w:r>
          </w:p>
        </w:tc>
        <w:tc>
          <w:tcPr>
            <w:tcW w:w="1780" w:type="dxa"/>
            <w:vAlign w:val="bottom"/>
          </w:tcPr>
          <w:p>
            <w:pPr>
              <w:jc w:val="right"/>
              <w:ind w:right="239"/>
              <w:spacing w:after="0"/>
              <w:rPr>
                <w:sz w:val="20"/>
                <w:szCs w:val="20"/>
                <w:color w:val="auto"/>
              </w:rPr>
            </w:pPr>
            <w:r>
              <w:rPr>
                <w:rFonts w:ascii="Arial" w:cs="Arial" w:eastAsia="Arial" w:hAnsi="Arial"/>
                <w:sz w:val="16"/>
                <w:szCs w:val="16"/>
                <w:color w:val="auto"/>
              </w:rPr>
              <w:t>22.0 %</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1,118</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21.8 %</w:t>
            </w:r>
          </w:p>
        </w:tc>
        <w:tc>
          <w:tcPr>
            <w:tcW w:w="1360" w:type="dxa"/>
            <w:vAlign w:val="bottom"/>
          </w:tcPr>
          <w:p>
            <w:pPr>
              <w:jc w:val="right"/>
              <w:spacing w:after="0"/>
              <w:rPr>
                <w:sz w:val="20"/>
                <w:szCs w:val="20"/>
                <w:color w:val="auto"/>
              </w:rPr>
            </w:pPr>
            <w:r>
              <w:rPr>
                <w:rFonts w:ascii="Arial" w:cs="Arial" w:eastAsia="Arial" w:hAnsi="Arial"/>
                <w:sz w:val="16"/>
                <w:szCs w:val="16"/>
                <w:color w:val="auto"/>
              </w:rPr>
              <w:t>5.2 %</w:t>
            </w:r>
          </w:p>
        </w:tc>
      </w:tr>
      <w:tr>
        <w:trPr>
          <w:trHeight w:val="29"/>
        </w:trPr>
        <w:tc>
          <w:tcPr>
            <w:tcW w:w="3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3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92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209</w:t>
            </w:r>
          </w:p>
        </w:tc>
        <w:tc>
          <w:tcPr>
            <w:tcW w:w="178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6.8 %</w:t>
            </w:r>
          </w:p>
        </w:tc>
        <w:tc>
          <w:tcPr>
            <w:tcW w:w="11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347</w:t>
            </w:r>
          </w:p>
        </w:tc>
        <w:tc>
          <w:tcPr>
            <w:tcW w:w="16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11.1 %</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(39.6)%</w:t>
            </w:r>
          </w:p>
        </w:tc>
      </w:tr>
      <w:tr>
        <w:trPr>
          <w:trHeight w:val="255"/>
        </w:trPr>
        <w:tc>
          <w:tcPr>
            <w:tcW w:w="3760" w:type="dxa"/>
            <w:vAlign w:val="bottom"/>
          </w:tcPr>
          <w:p>
            <w:pPr>
              <w:ind w:left="20"/>
              <w:spacing w:after="0"/>
              <w:rPr>
                <w:sz w:val="20"/>
                <w:szCs w:val="20"/>
                <w:color w:val="auto"/>
              </w:rPr>
            </w:pPr>
            <w:r>
              <w:rPr>
                <w:rFonts w:ascii="Arial" w:cs="Arial" w:eastAsia="Arial" w:hAnsi="Arial"/>
                <w:sz w:val="16"/>
                <w:szCs w:val="16"/>
                <w:color w:val="auto"/>
              </w:rPr>
              <w:t>PDx</w:t>
            </w:r>
          </w:p>
        </w:tc>
        <w:tc>
          <w:tcPr>
            <w:tcW w:w="920" w:type="dxa"/>
            <w:vAlign w:val="bottom"/>
          </w:tcPr>
          <w:p>
            <w:pPr>
              <w:spacing w:after="0"/>
              <w:rPr>
                <w:sz w:val="22"/>
                <w:szCs w:val="22"/>
                <w:color w:val="auto"/>
              </w:rPr>
            </w:pPr>
          </w:p>
        </w:tc>
        <w:tc>
          <w:tcPr>
            <w:tcW w:w="580" w:type="dxa"/>
            <w:vAlign w:val="bottom"/>
          </w:tcPr>
          <w:p>
            <w:pPr>
              <w:jc w:val="right"/>
              <w:ind w:right="59"/>
              <w:spacing w:after="0"/>
              <w:rPr>
                <w:sz w:val="20"/>
                <w:szCs w:val="20"/>
                <w:color w:val="auto"/>
              </w:rPr>
            </w:pPr>
            <w:r>
              <w:rPr>
                <w:rFonts w:ascii="Arial" w:cs="Arial" w:eastAsia="Arial" w:hAnsi="Arial"/>
                <w:sz w:val="16"/>
                <w:szCs w:val="16"/>
                <w:color w:val="auto"/>
              </w:rPr>
              <w:t>872</w:t>
            </w:r>
          </w:p>
        </w:tc>
        <w:tc>
          <w:tcPr>
            <w:tcW w:w="1780" w:type="dxa"/>
            <w:vAlign w:val="bottom"/>
          </w:tcPr>
          <w:p>
            <w:pPr>
              <w:jc w:val="right"/>
              <w:ind w:right="239"/>
              <w:spacing w:after="0"/>
              <w:rPr>
                <w:sz w:val="20"/>
                <w:szCs w:val="20"/>
                <w:color w:val="auto"/>
              </w:rPr>
            </w:pPr>
            <w:r>
              <w:rPr>
                <w:rFonts w:ascii="Arial" w:cs="Arial" w:eastAsia="Arial" w:hAnsi="Arial"/>
                <w:sz w:val="16"/>
                <w:szCs w:val="16"/>
                <w:color w:val="auto"/>
              </w:rPr>
              <w:t>30.1 %</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783</w:t>
            </w:r>
          </w:p>
        </w:tc>
        <w:tc>
          <w:tcPr>
            <w:tcW w:w="1660" w:type="dxa"/>
            <w:vAlign w:val="bottom"/>
          </w:tcPr>
          <w:p>
            <w:pPr>
              <w:jc w:val="right"/>
              <w:ind w:right="139"/>
              <w:spacing w:after="0"/>
              <w:rPr>
                <w:sz w:val="20"/>
                <w:szCs w:val="20"/>
                <w:color w:val="auto"/>
              </w:rPr>
            </w:pPr>
            <w:r>
              <w:rPr>
                <w:rFonts w:ascii="Arial" w:cs="Arial" w:eastAsia="Arial" w:hAnsi="Arial"/>
                <w:sz w:val="16"/>
                <w:szCs w:val="16"/>
                <w:color w:val="auto"/>
              </w:rPr>
              <w:t>31.2 %</w:t>
            </w:r>
          </w:p>
        </w:tc>
        <w:tc>
          <w:tcPr>
            <w:tcW w:w="1360" w:type="dxa"/>
            <w:vAlign w:val="bottom"/>
          </w:tcPr>
          <w:p>
            <w:pPr>
              <w:jc w:val="right"/>
              <w:spacing w:after="0"/>
              <w:rPr>
                <w:sz w:val="20"/>
                <w:szCs w:val="20"/>
                <w:color w:val="auto"/>
              </w:rPr>
            </w:pPr>
            <w:r>
              <w:rPr>
                <w:rFonts w:ascii="Arial" w:cs="Arial" w:eastAsia="Arial" w:hAnsi="Arial"/>
                <w:sz w:val="16"/>
                <w:szCs w:val="16"/>
                <w:color w:val="auto"/>
              </w:rPr>
              <w:t>11.4 %</w:t>
            </w:r>
          </w:p>
        </w:tc>
      </w:tr>
      <w:tr>
        <w:trPr>
          <w:trHeight w:val="29"/>
        </w:trPr>
        <w:tc>
          <w:tcPr>
            <w:tcW w:w="37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For the year ended December 31, 2025</w:t>
      </w:r>
    </w:p>
    <w:p>
      <w:pPr>
        <w:spacing w:after="0" w:line="273" w:lineRule="exact"/>
        <w:rPr>
          <w:sz w:val="20"/>
          <w:szCs w:val="20"/>
          <w:color w:val="auto"/>
        </w:rPr>
      </w:pPr>
    </w:p>
    <w:p>
      <w:pPr>
        <w:ind w:left="660" w:right="20" w:hanging="328"/>
        <w:spacing w:after="0" w:line="286" w:lineRule="auto"/>
        <w:tabs>
          <w:tab w:leader="none" w:pos="649" w:val="left"/>
        </w:tabs>
        <w:numPr>
          <w:ilvl w:val="0"/>
          <w:numId w:val="25"/>
        </w:numPr>
        <w:rPr>
          <w:rFonts w:ascii="Arial" w:cs="Arial" w:eastAsia="Arial" w:hAnsi="Arial"/>
          <w:sz w:val="16"/>
          <w:szCs w:val="16"/>
          <w:i w:val="1"/>
          <w:iCs w:val="1"/>
          <w:color w:val="231F20"/>
        </w:rPr>
      </w:pPr>
      <w:r>
        <w:rPr>
          <w:rFonts w:ascii="Arial" w:cs="Arial" w:eastAsia="Arial" w:hAnsi="Arial"/>
          <w:sz w:val="16"/>
          <w:szCs w:val="16"/>
          <w:color w:val="auto"/>
        </w:rPr>
        <w:t>Imaging Segment EBIT was $891 million, a decrease of $71 million due to cost inflation, including the impact of incremental tariffs, partially offset by a growth in sales volume, an increase in price, and cost productivity;</w:t>
      </w:r>
    </w:p>
    <w:p>
      <w:pPr>
        <w:spacing w:after="0" w:line="34" w:lineRule="exact"/>
        <w:rPr>
          <w:rFonts w:ascii="Arial" w:cs="Arial" w:eastAsia="Arial" w:hAnsi="Arial"/>
          <w:sz w:val="16"/>
          <w:szCs w:val="16"/>
          <w:i w:val="1"/>
          <w:iCs w:val="1"/>
          <w:color w:val="231F20"/>
        </w:rPr>
      </w:pPr>
    </w:p>
    <w:p>
      <w:pPr>
        <w:ind w:left="660" w:right="540" w:hanging="328"/>
        <w:spacing w:after="0" w:line="286" w:lineRule="auto"/>
        <w:tabs>
          <w:tab w:leader="none" w:pos="649" w:val="left"/>
        </w:tabs>
        <w:numPr>
          <w:ilvl w:val="0"/>
          <w:numId w:val="25"/>
        </w:numPr>
        <w:rPr>
          <w:rFonts w:ascii="Arial" w:cs="Arial" w:eastAsia="Arial" w:hAnsi="Arial"/>
          <w:sz w:val="16"/>
          <w:szCs w:val="16"/>
          <w:i w:val="1"/>
          <w:iCs w:val="1"/>
          <w:color w:val="231F20"/>
        </w:rPr>
      </w:pPr>
      <w:r>
        <w:rPr>
          <w:rFonts w:ascii="Arial" w:cs="Arial" w:eastAsia="Arial" w:hAnsi="Arial"/>
          <w:sz w:val="16"/>
          <w:szCs w:val="16"/>
          <w:color w:val="auto"/>
        </w:rPr>
        <w:t>AVS Segment EBIT was $1,175 million, an increase of $58 million due to growth in sales volume and cost productivity, partially offset by cost inflation, including the impact of incremental tariffs;</w:t>
      </w:r>
    </w:p>
    <w:p>
      <w:pPr>
        <w:spacing w:after="0" w:line="34" w:lineRule="exact"/>
        <w:rPr>
          <w:rFonts w:ascii="Arial" w:cs="Arial" w:eastAsia="Arial" w:hAnsi="Arial"/>
          <w:sz w:val="16"/>
          <w:szCs w:val="16"/>
          <w:i w:val="1"/>
          <w:iCs w:val="1"/>
          <w:color w:val="231F20"/>
        </w:rPr>
      </w:pPr>
    </w:p>
    <w:p>
      <w:pPr>
        <w:ind w:left="660" w:right="200" w:hanging="328"/>
        <w:spacing w:after="0" w:line="304" w:lineRule="auto"/>
        <w:tabs>
          <w:tab w:leader="none" w:pos="649" w:val="left"/>
        </w:tabs>
        <w:numPr>
          <w:ilvl w:val="0"/>
          <w:numId w:val="25"/>
        </w:numPr>
        <w:rPr>
          <w:rFonts w:ascii="Arial" w:cs="Arial" w:eastAsia="Arial" w:hAnsi="Arial"/>
          <w:sz w:val="16"/>
          <w:szCs w:val="16"/>
          <w:i w:val="1"/>
          <w:iCs w:val="1"/>
          <w:color w:val="231F20"/>
        </w:rPr>
      </w:pPr>
      <w:r>
        <w:rPr>
          <w:rFonts w:ascii="Arial" w:cs="Arial" w:eastAsia="Arial" w:hAnsi="Arial"/>
          <w:sz w:val="16"/>
          <w:szCs w:val="16"/>
          <w:color w:val="auto"/>
        </w:rPr>
        <w:t>PCS Segment EBIT was $209 million, a decrease of $137 million due to unfavorable mix, cost inflation, including the impact of incremental tariffs, and a decline in sales volume; and</w:t>
      </w:r>
    </w:p>
    <w:p>
      <w:pPr>
        <w:spacing w:after="0" w:line="19" w:lineRule="exact"/>
        <w:rPr>
          <w:rFonts w:ascii="Arial" w:cs="Arial" w:eastAsia="Arial" w:hAnsi="Arial"/>
          <w:sz w:val="16"/>
          <w:szCs w:val="16"/>
          <w:i w:val="1"/>
          <w:iCs w:val="1"/>
          <w:color w:val="231F20"/>
        </w:rPr>
      </w:pPr>
    </w:p>
    <w:p>
      <w:pPr>
        <w:ind w:left="660" w:right="20" w:hanging="328"/>
        <w:spacing w:after="0" w:line="286" w:lineRule="auto"/>
        <w:tabs>
          <w:tab w:leader="none" w:pos="649" w:val="left"/>
        </w:tabs>
        <w:numPr>
          <w:ilvl w:val="0"/>
          <w:numId w:val="25"/>
        </w:numPr>
        <w:rPr>
          <w:rFonts w:ascii="Arial" w:cs="Arial" w:eastAsia="Arial" w:hAnsi="Arial"/>
          <w:sz w:val="16"/>
          <w:szCs w:val="16"/>
          <w:i w:val="1"/>
          <w:iCs w:val="1"/>
          <w:color w:val="231F20"/>
        </w:rPr>
      </w:pPr>
      <w:r>
        <w:rPr>
          <w:rFonts w:ascii="Arial" w:cs="Arial" w:eastAsia="Arial" w:hAnsi="Arial"/>
          <w:sz w:val="16"/>
          <w:szCs w:val="16"/>
          <w:color w:val="auto"/>
        </w:rPr>
        <w:t>PDx Segment EBIT was $872 million, an increase of $89 million due to an increase in price and growth in sales volume, partially offset by increased investment.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62" w:lineRule="exact"/>
        <w:rPr>
          <w:sz w:val="20"/>
          <w:szCs w:val="20"/>
          <w:color w:val="auto"/>
        </w:rPr>
      </w:pPr>
    </w:p>
    <w:p>
      <w:pPr>
        <w:jc w:val="both"/>
        <w:ind w:right="180"/>
        <w:spacing w:after="0" w:line="271" w:lineRule="auto"/>
        <w:rPr>
          <w:sz w:val="20"/>
          <w:szCs w:val="20"/>
          <w:color w:val="auto"/>
        </w:rPr>
      </w:pPr>
      <w:r>
        <w:rPr>
          <w:rFonts w:ascii="Arial" w:cs="Arial" w:eastAsia="Arial" w:hAnsi="Arial"/>
          <w:sz w:val="16"/>
          <w:szCs w:val="16"/>
          <w:color w:val="auto"/>
        </w:rPr>
        <w:t>The non-GAAP financial measures presented in this Annual Report on Form 10-K are supplemental measures of our performance and our liquidity that we believe will help investors understand our financial condition, cash flows, and operating results, and assess our future prospects. When read in conjunction with our U.S. GAAP results, these non-GAAP financial measures provide a baseline for analyzing trends in our underlying businesses and can be used by management as one basis for making financial, operational, and planning decisions. Descriptions of the reported non-GAAP measures are included below.</w:t>
      </w:r>
    </w:p>
    <w:p>
      <w:pPr>
        <w:spacing w:after="0" w:line="195"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report Organic revenue and Organic revenue growth rate to provide management and investors with additional understanding and visibility into the underlying revenue trends of our established, ongoing operations, as well as provide insights into overall demand for our products and services. To calculate these measures, we exclude the effect of acquisitions, dispositions, and foreign currency rate fluctuations.</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 xml:space="preserve">We report EBIT, Adjusted EBIT, Adjusted EBIT margin, Adjusted net income, and Adjusted earnings per share to provide management and investors with an additional understanding of our business by highlighting the results from ongoing operations and the underlying profitability factors, on a normalized basis. To calculate these measures we exclude, and reflect in the detailed reconciliations below, the following adjustments as applicable: Interest and other financial charges </w:t>
      </w:r>
      <w:r>
        <w:rPr>
          <w:rFonts w:ascii="Arial" w:cs="Arial" w:eastAsia="Arial" w:hAnsi="Arial"/>
          <w:sz w:val="16"/>
          <w:szCs w:val="16"/>
          <w:color w:val="231F20"/>
        </w:rPr>
        <w:t>–</w:t>
      </w:r>
      <w:r>
        <w:rPr>
          <w:rFonts w:ascii="Arial" w:cs="Arial" w:eastAsia="Arial" w:hAnsi="Arial"/>
          <w:sz w:val="16"/>
          <w:szCs w:val="16"/>
          <w:color w:val="auto"/>
        </w:rPr>
        <w:t xml:space="preserve"> net, Net (income) loss attributable to noncontrolling interests, Non-operating benefit (income) costs, Benefit (provision) for income taxes and certain tax related adjustments, and certain non-recurring and/or non-cash items. We may from time to time consider excluding other non-recurring items to enhance comparability between periods. Adjusted EBIT margin is calculated by taking Adjusted EBIT divided by Total revenues for the same period.</w:t>
      </w:r>
    </w:p>
    <w:p>
      <w:pPr>
        <w:spacing w:after="0" w:line="217"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We report Adjusted tax expense and Adjusted ETR to provide management and investors with a better understanding of the normalized tax rate applicable to our business and provide more consistent comparability across periods. Adjusted tax expense excludes the income tax related to the pre-tax income adjustments included as part of Adjusted net income and certain income tax adjustments, such as adjustments to deferred tax assets or liabilities. We may from time to time consider excluding other non-recurring tax items to enhance comparability between periods. Adjusted ETR is Adjusted tax expense divided by income before income taxes less the pre-tax income adjustments referenced above.</w:t>
      </w:r>
    </w:p>
    <w:p>
      <w:pPr>
        <w:spacing w:after="0" w:line="205"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We report Free cash flow to provide management and investors with an important measure of our ability to generate cash on a normalized basis and provide insight into our flexibility to allocate capital. Free cash flow is Cash from (used for) operating activities – continuing operations including cash flows related to the additions and dispositions of property, plant, and equipment (“PP&amp;E”) and additions of internal-use software. Free cash flow does not represent residual cash flows available for discretionary expenditures, due to the fact that the measure does not deduct the capital required for debt repayments.</w:t>
      </w:r>
    </w:p>
    <w:p>
      <w:pPr>
        <w:spacing w:after="0" w:line="195"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Management recognizes that these non-GAAP financial measures have limitations, including that they may be calculated differently by other companies or may be used under different circumstances or for different purposes. In order to compensate for the discussed limitations, management does not consider these measures in isolation from or as alternatives to the comparable financial measures determined in accordance with U.S. GAAP. The detailed reconciliations of each non-GAAP financial measure to the most directly comparable U.S. GAAP financial measure are provided below, and no single financial measure should be relied on to evaluate our business.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40" w:type="dxa"/>
            <w:vAlign w:val="bottom"/>
          </w:tcPr>
          <w:p>
            <w:pPr>
              <w:ind w:left="80"/>
              <w:spacing w:after="0"/>
              <w:rPr>
                <w:sz w:val="20"/>
                <w:szCs w:val="20"/>
                <w:color w:val="auto"/>
              </w:rPr>
            </w:pPr>
            <w:r>
              <w:rPr>
                <w:rFonts w:ascii="Arial" w:cs="Arial" w:eastAsia="Arial" w:hAnsi="Arial"/>
                <w:sz w:val="16"/>
                <w:szCs w:val="16"/>
                <w:b w:val="1"/>
                <w:bCs w:val="1"/>
                <w:color w:val="auto"/>
              </w:rPr>
              <w:t>Organic Revenue*</w:t>
            </w:r>
          </w:p>
        </w:tc>
        <w:tc>
          <w:tcPr>
            <w:tcW w:w="340" w:type="dxa"/>
            <w:vAlign w:val="bottom"/>
          </w:tcPr>
          <w:p>
            <w:pPr>
              <w:spacing w:after="0"/>
              <w:rPr>
                <w:sz w:val="20"/>
                <w:szCs w:val="20"/>
                <w:color w:val="auto"/>
              </w:rPr>
            </w:pPr>
          </w:p>
        </w:tc>
        <w:tc>
          <w:tcPr>
            <w:tcW w:w="406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84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r>
      <w:tr>
        <w:trPr>
          <w:trHeight w:val="229"/>
        </w:trPr>
        <w:tc>
          <w:tcPr>
            <w:tcW w:w="6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2025</w:t>
            </w:r>
          </w:p>
        </w:tc>
        <w:tc>
          <w:tcPr>
            <w:tcW w:w="360" w:type="dxa"/>
            <w:vAlign w:val="bottom"/>
          </w:tcPr>
          <w:p>
            <w:pPr>
              <w:spacing w:after="0"/>
              <w:rPr>
                <w:sz w:val="19"/>
                <w:szCs w:val="19"/>
                <w:color w:val="auto"/>
              </w:rPr>
            </w:pPr>
          </w:p>
        </w:tc>
        <w:tc>
          <w:tcPr>
            <w:tcW w:w="1280" w:type="dxa"/>
            <w:vAlign w:val="bottom"/>
          </w:tcPr>
          <w:p>
            <w:pPr>
              <w:jc w:val="right"/>
              <w:ind w:right="619"/>
              <w:spacing w:after="0"/>
              <w:rPr>
                <w:sz w:val="20"/>
                <w:szCs w:val="20"/>
                <w:color w:val="auto"/>
              </w:rPr>
            </w:pPr>
            <w:r>
              <w:rPr>
                <w:rFonts w:ascii="Arial" w:cs="Arial" w:eastAsia="Arial" w:hAnsi="Arial"/>
                <w:sz w:val="16"/>
                <w:szCs w:val="16"/>
                <w:b w:val="1"/>
                <w:bCs w:val="1"/>
                <w:color w:val="454545"/>
              </w:rPr>
              <w:t>2024</w:t>
            </w:r>
          </w:p>
        </w:tc>
        <w:tc>
          <w:tcPr>
            <w:tcW w:w="1320" w:type="dxa"/>
            <w:vAlign w:val="bottom"/>
          </w:tcPr>
          <w:p>
            <w:pPr>
              <w:jc w:val="right"/>
              <w:ind w:right="27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84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r>
      <w:tr>
        <w:trPr>
          <w:trHeight w:val="230"/>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revenues</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9,245</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8,855</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w:t>
            </w:r>
          </w:p>
        </w:tc>
      </w:tr>
      <w:tr>
        <w:trPr>
          <w:trHeight w:val="257"/>
        </w:trPr>
        <w:tc>
          <w:tcPr>
            <w:tcW w:w="68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22"/>
                <w:szCs w:val="22"/>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2"/>
                <w:szCs w:val="22"/>
                <w:color w:val="auto"/>
              </w:rPr>
            </w:pPr>
          </w:p>
        </w:tc>
      </w:tr>
      <w:tr>
        <w:trPr>
          <w:trHeight w:val="256"/>
        </w:trPr>
        <w:tc>
          <w:tcPr>
            <w:tcW w:w="68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4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4E4E4"/>
          </w:tcPr>
          <w:p>
            <w:pPr>
              <w:spacing w:after="0"/>
              <w:rPr>
                <w:sz w:val="22"/>
                <w:szCs w:val="22"/>
                <w:color w:val="auto"/>
              </w:rPr>
            </w:pPr>
          </w:p>
        </w:tc>
        <w:tc>
          <w:tcPr>
            <w:tcW w:w="128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4E4E4"/>
          </w:tcPr>
          <w:p>
            <w:pPr>
              <w:spacing w:after="0"/>
              <w:rPr>
                <w:sz w:val="22"/>
                <w:szCs w:val="22"/>
                <w:color w:val="auto"/>
              </w:rPr>
            </w:pPr>
          </w:p>
        </w:tc>
      </w:tr>
      <w:tr>
        <w:trPr>
          <w:trHeight w:val="228"/>
        </w:trPr>
        <w:tc>
          <w:tcPr>
            <w:tcW w:w="68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w:t>
            </w: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9"/>
                <w:szCs w:val="19"/>
                <w:color w:val="auto"/>
              </w:rPr>
            </w:pPr>
          </w:p>
        </w:tc>
      </w:tr>
      <w:tr>
        <w:trPr>
          <w:trHeight w:val="29"/>
        </w:trPr>
        <w:tc>
          <w:tcPr>
            <w:tcW w:w="6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Imaging Organic revenue*</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9,195</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8,855</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w:t>
            </w:r>
          </w:p>
        </w:tc>
      </w:tr>
      <w:tr>
        <w:trPr>
          <w:trHeight w:val="229"/>
        </w:trPr>
        <w:tc>
          <w:tcPr>
            <w:tcW w:w="68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revenues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5,354</w:t>
            </w:r>
          </w:p>
        </w:tc>
        <w:tc>
          <w:tcPr>
            <w:tcW w:w="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5,131</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r>
      <w:tr>
        <w:trPr>
          <w:trHeight w:val="21"/>
        </w:trPr>
        <w:tc>
          <w:tcPr>
            <w:tcW w:w="6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7"/>
        </w:trPr>
        <w:tc>
          <w:tcPr>
            <w:tcW w:w="68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4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4E4E4"/>
          </w:tcPr>
          <w:p>
            <w:pPr>
              <w:spacing w:after="0"/>
              <w:rPr>
                <w:sz w:val="22"/>
                <w:szCs w:val="22"/>
                <w:color w:val="auto"/>
              </w:rPr>
            </w:pPr>
          </w:p>
        </w:tc>
        <w:tc>
          <w:tcPr>
            <w:tcW w:w="128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4E4E4"/>
          </w:tcPr>
          <w:p>
            <w:pPr>
              <w:spacing w:after="0"/>
              <w:rPr>
                <w:sz w:val="22"/>
                <w:szCs w:val="22"/>
                <w:color w:val="auto"/>
              </w:rPr>
            </w:pPr>
          </w:p>
        </w:tc>
      </w:tr>
      <w:tr>
        <w:trPr>
          <w:trHeight w:val="257"/>
        </w:trPr>
        <w:tc>
          <w:tcPr>
            <w:tcW w:w="68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2"/>
                <w:szCs w:val="22"/>
                <w:color w:val="auto"/>
              </w:rPr>
            </w:pPr>
          </w:p>
        </w:tc>
      </w:tr>
      <w:tr>
        <w:trPr>
          <w:trHeight w:val="262"/>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3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36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4E4E4"/>
            </w:tcBorders>
            <w:shd w:val="clear" w:color="auto" w:fill="E4E4E4"/>
          </w:tcPr>
          <w:p>
            <w:pPr>
              <w:spacing w:after="0"/>
              <w:rPr>
                <w:sz w:val="22"/>
                <w:szCs w:val="22"/>
                <w:color w:val="auto"/>
              </w:rPr>
            </w:pPr>
          </w:p>
        </w:tc>
      </w:tr>
      <w:tr>
        <w:trPr>
          <w:trHeight w:val="229"/>
        </w:trPr>
        <w:tc>
          <w:tcPr>
            <w:tcW w:w="68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AVS Organic revenue*</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5,324</w:t>
            </w:r>
          </w:p>
        </w:tc>
        <w:tc>
          <w:tcPr>
            <w:tcW w:w="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5,131</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r>
      <w:tr>
        <w:trPr>
          <w:trHeight w:val="21"/>
        </w:trPr>
        <w:tc>
          <w:tcPr>
            <w:tcW w:w="6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revenues</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3,086</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3,125</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r>
      <w:tr>
        <w:trPr>
          <w:trHeight w:val="257"/>
        </w:trPr>
        <w:tc>
          <w:tcPr>
            <w:tcW w:w="68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2"/>
                <w:szCs w:val="22"/>
                <w:color w:val="auto"/>
              </w:rPr>
            </w:pPr>
          </w:p>
        </w:tc>
      </w:tr>
      <w:tr>
        <w:trPr>
          <w:trHeight w:val="257"/>
        </w:trPr>
        <w:tc>
          <w:tcPr>
            <w:tcW w:w="68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4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4E4E4"/>
          </w:tcPr>
          <w:p>
            <w:pPr>
              <w:spacing w:after="0"/>
              <w:rPr>
                <w:sz w:val="22"/>
                <w:szCs w:val="22"/>
                <w:color w:val="auto"/>
              </w:rPr>
            </w:pPr>
          </w:p>
        </w:tc>
        <w:tc>
          <w:tcPr>
            <w:tcW w:w="128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4E4E4"/>
          </w:tcPr>
          <w:p>
            <w:pPr>
              <w:spacing w:after="0"/>
              <w:rPr>
                <w:sz w:val="22"/>
                <w:szCs w:val="22"/>
                <w:color w:val="auto"/>
              </w:rPr>
            </w:pPr>
          </w:p>
        </w:tc>
      </w:tr>
      <w:tr>
        <w:trPr>
          <w:trHeight w:val="228"/>
        </w:trPr>
        <w:tc>
          <w:tcPr>
            <w:tcW w:w="68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9"/>
                <w:szCs w:val="19"/>
                <w:color w:val="auto"/>
              </w:rPr>
            </w:pPr>
          </w:p>
        </w:tc>
      </w:tr>
      <w:tr>
        <w:trPr>
          <w:trHeight w:val="29"/>
        </w:trPr>
        <w:tc>
          <w:tcPr>
            <w:tcW w:w="6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PCS Organic revenue*</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3,079</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3,125</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w:t>
            </w:r>
          </w:p>
        </w:tc>
      </w:tr>
      <w:tr>
        <w:trPr>
          <w:trHeight w:val="229"/>
        </w:trPr>
        <w:tc>
          <w:tcPr>
            <w:tcW w:w="68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revenues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2,900</w:t>
            </w:r>
          </w:p>
        </w:tc>
        <w:tc>
          <w:tcPr>
            <w:tcW w:w="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2,508</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15.6%</w:t>
            </w:r>
          </w:p>
        </w:tc>
      </w:tr>
      <w:tr>
        <w:trPr>
          <w:trHeight w:val="21"/>
        </w:trPr>
        <w:tc>
          <w:tcPr>
            <w:tcW w:w="6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7"/>
        </w:trPr>
        <w:tc>
          <w:tcPr>
            <w:tcW w:w="68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4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154</w:t>
            </w:r>
          </w:p>
        </w:tc>
        <w:tc>
          <w:tcPr>
            <w:tcW w:w="360" w:type="dxa"/>
            <w:vAlign w:val="bottom"/>
            <w:shd w:val="clear" w:color="auto" w:fill="E4E4E4"/>
          </w:tcPr>
          <w:p>
            <w:pPr>
              <w:spacing w:after="0"/>
              <w:rPr>
                <w:sz w:val="22"/>
                <w:szCs w:val="22"/>
                <w:color w:val="auto"/>
              </w:rPr>
            </w:pPr>
          </w:p>
        </w:tc>
        <w:tc>
          <w:tcPr>
            <w:tcW w:w="128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4</w:t>
            </w:r>
          </w:p>
        </w:tc>
        <w:tc>
          <w:tcPr>
            <w:tcW w:w="1320" w:type="dxa"/>
            <w:vAlign w:val="bottom"/>
            <w:shd w:val="clear" w:color="auto" w:fill="E4E4E4"/>
          </w:tcPr>
          <w:p>
            <w:pPr>
              <w:spacing w:after="0"/>
              <w:rPr>
                <w:sz w:val="22"/>
                <w:szCs w:val="22"/>
                <w:color w:val="auto"/>
              </w:rPr>
            </w:pPr>
          </w:p>
        </w:tc>
      </w:tr>
      <w:tr>
        <w:trPr>
          <w:trHeight w:val="256"/>
        </w:trPr>
        <w:tc>
          <w:tcPr>
            <w:tcW w:w="68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2"/>
                <w:szCs w:val="22"/>
                <w:color w:val="auto"/>
              </w:rPr>
            </w:pPr>
          </w:p>
        </w:tc>
      </w:tr>
      <w:tr>
        <w:trPr>
          <w:trHeight w:val="262"/>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3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36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4E4E4"/>
            </w:tcBorders>
            <w:shd w:val="clear" w:color="auto" w:fill="E4E4E4"/>
          </w:tcPr>
          <w:p>
            <w:pPr>
              <w:spacing w:after="0"/>
              <w:rPr>
                <w:sz w:val="22"/>
                <w:szCs w:val="22"/>
                <w:color w:val="auto"/>
              </w:rPr>
            </w:pPr>
          </w:p>
        </w:tc>
      </w:tr>
      <w:tr>
        <w:trPr>
          <w:trHeight w:val="229"/>
        </w:trPr>
        <w:tc>
          <w:tcPr>
            <w:tcW w:w="68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PDx Organic revenue*</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2,724</w:t>
            </w:r>
          </w:p>
        </w:tc>
        <w:tc>
          <w:tcPr>
            <w:tcW w:w="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2,504</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w:t>
            </w:r>
          </w:p>
        </w:tc>
      </w:tr>
      <w:tr>
        <w:trPr>
          <w:trHeight w:val="21"/>
        </w:trPr>
        <w:tc>
          <w:tcPr>
            <w:tcW w:w="6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0"/>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revenues</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52</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r>
      <w:tr>
        <w:trPr>
          <w:trHeight w:val="257"/>
        </w:trPr>
        <w:tc>
          <w:tcPr>
            <w:tcW w:w="6840" w:type="dxa"/>
            <w:vAlign w:val="bottom"/>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2"/>
                <w:szCs w:val="22"/>
                <w:color w:val="auto"/>
              </w:rPr>
            </w:pPr>
          </w:p>
        </w:tc>
      </w:tr>
      <w:tr>
        <w:trPr>
          <w:trHeight w:val="256"/>
        </w:trPr>
        <w:tc>
          <w:tcPr>
            <w:tcW w:w="68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4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4E4E4"/>
          </w:tcPr>
          <w:p>
            <w:pPr>
              <w:spacing w:after="0"/>
              <w:rPr>
                <w:sz w:val="22"/>
                <w:szCs w:val="22"/>
                <w:color w:val="auto"/>
              </w:rPr>
            </w:pPr>
          </w:p>
        </w:tc>
        <w:tc>
          <w:tcPr>
            <w:tcW w:w="128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E4E4E4"/>
          </w:tcPr>
          <w:p>
            <w:pPr>
              <w:spacing w:after="0"/>
              <w:rPr>
                <w:sz w:val="22"/>
                <w:szCs w:val="22"/>
                <w:color w:val="auto"/>
              </w:rPr>
            </w:pPr>
          </w:p>
        </w:tc>
      </w:tr>
      <w:tr>
        <w:trPr>
          <w:trHeight w:val="228"/>
        </w:trPr>
        <w:tc>
          <w:tcPr>
            <w:tcW w:w="6840" w:type="dxa"/>
            <w:vAlign w:val="bottom"/>
          </w:tcPr>
          <w:p>
            <w:pPr>
              <w:ind w:left="80"/>
              <w:spacing w:after="0"/>
              <w:rPr>
                <w:sz w:val="20"/>
                <w:szCs w:val="20"/>
                <w:color w:val="auto"/>
              </w:rPr>
            </w:pPr>
            <w:r>
              <w:rPr>
                <w:rFonts w:ascii="Arial" w:cs="Arial" w:eastAsia="Arial" w:hAnsi="Arial"/>
                <w:sz w:val="16"/>
                <w:szCs w:val="16"/>
                <w:color w:val="auto"/>
              </w:rPr>
              <w:t>Less: Foreign currency exchange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9"/>
                <w:szCs w:val="19"/>
                <w:color w:val="auto"/>
              </w:rPr>
            </w:pPr>
          </w:p>
        </w:tc>
      </w:tr>
      <w:tr>
        <w:trPr>
          <w:trHeight w:val="29"/>
        </w:trPr>
        <w:tc>
          <w:tcPr>
            <w:tcW w:w="6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5"/>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Other Organic revenue*</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52</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(23.3)%</w:t>
            </w:r>
          </w:p>
        </w:tc>
      </w:tr>
      <w:tr>
        <w:trPr>
          <w:trHeight w:val="229"/>
        </w:trPr>
        <w:tc>
          <w:tcPr>
            <w:tcW w:w="68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Total revenues</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20,625</w:t>
            </w:r>
          </w:p>
        </w:tc>
        <w:tc>
          <w:tcPr>
            <w:tcW w:w="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19,672</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w:t>
            </w:r>
          </w:p>
        </w:tc>
      </w:tr>
      <w:tr>
        <w:trPr>
          <w:trHeight w:val="21"/>
        </w:trPr>
        <w:tc>
          <w:tcPr>
            <w:tcW w:w="6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50"/>
        </w:trPr>
        <w:tc>
          <w:tcPr>
            <w:tcW w:w="6840" w:type="dxa"/>
            <w:vAlign w:val="bottom"/>
            <w:shd w:val="clear" w:color="auto" w:fill="E4E4E4"/>
          </w:tcPr>
          <w:p>
            <w:pPr>
              <w:ind w:left="80"/>
              <w:spacing w:after="0"/>
              <w:rPr>
                <w:sz w:val="20"/>
                <w:szCs w:val="20"/>
                <w:color w:val="auto"/>
              </w:rPr>
            </w:pPr>
            <w:r>
              <w:rPr>
                <w:rFonts w:ascii="Arial" w:cs="Arial" w:eastAsia="Arial" w:hAnsi="Arial"/>
                <w:sz w:val="16"/>
                <w:szCs w:val="16"/>
                <w:color w:val="auto"/>
              </w:rPr>
              <w:t>Less: Acquisitions</w:t>
            </w:r>
            <w:r>
              <w:rPr>
                <w:rFonts w:ascii="Arial" w:cs="Arial" w:eastAsia="Arial" w:hAnsi="Arial"/>
                <w:sz w:val="21"/>
                <w:szCs w:val="21"/>
                <w:color w:val="auto"/>
                <w:vertAlign w:val="superscript"/>
              </w:rPr>
              <w:t>(1)</w:t>
            </w:r>
          </w:p>
        </w:tc>
        <w:tc>
          <w:tcPr>
            <w:tcW w:w="340" w:type="dxa"/>
            <w:vAlign w:val="bottom"/>
            <w:shd w:val="clear" w:color="auto" w:fill="E4E4E4"/>
          </w:tcPr>
          <w:p>
            <w:pPr>
              <w:spacing w:after="0"/>
              <w:rPr>
                <w:sz w:val="21"/>
                <w:szCs w:val="21"/>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169</w:t>
            </w:r>
          </w:p>
        </w:tc>
        <w:tc>
          <w:tcPr>
            <w:tcW w:w="360" w:type="dxa"/>
            <w:vAlign w:val="bottom"/>
            <w:shd w:val="clear" w:color="auto" w:fill="E4E4E4"/>
          </w:tcPr>
          <w:p>
            <w:pPr>
              <w:spacing w:after="0"/>
              <w:rPr>
                <w:sz w:val="21"/>
                <w:szCs w:val="21"/>
                <w:color w:val="auto"/>
              </w:rPr>
            </w:pPr>
          </w:p>
        </w:tc>
        <w:tc>
          <w:tcPr>
            <w:tcW w:w="128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4</w:t>
            </w:r>
          </w:p>
        </w:tc>
        <w:tc>
          <w:tcPr>
            <w:tcW w:w="1320" w:type="dxa"/>
            <w:vAlign w:val="bottom"/>
            <w:shd w:val="clear" w:color="auto" w:fill="E4E4E4"/>
          </w:tcPr>
          <w:p>
            <w:pPr>
              <w:spacing w:after="0"/>
              <w:rPr>
                <w:sz w:val="21"/>
                <w:szCs w:val="21"/>
                <w:color w:val="auto"/>
              </w:rPr>
            </w:pPr>
          </w:p>
        </w:tc>
      </w:tr>
      <w:tr>
        <w:trPr>
          <w:trHeight w:val="256"/>
        </w:trPr>
        <w:tc>
          <w:tcPr>
            <w:tcW w:w="6840" w:type="dxa"/>
            <w:vAlign w:val="bottom"/>
          </w:tcPr>
          <w:p>
            <w:pPr>
              <w:ind w:left="80"/>
              <w:spacing w:after="0"/>
              <w:rPr>
                <w:sz w:val="20"/>
                <w:szCs w:val="20"/>
                <w:color w:val="auto"/>
              </w:rPr>
            </w:pPr>
            <w:r>
              <w:rPr>
                <w:rFonts w:ascii="Arial" w:cs="Arial" w:eastAsia="Arial" w:hAnsi="Arial"/>
                <w:sz w:val="16"/>
                <w:szCs w:val="16"/>
                <w:color w:val="auto"/>
              </w:rPr>
              <w:t>Less: Dispositions</w:t>
            </w:r>
            <w:r>
              <w:rPr>
                <w:rFonts w:ascii="Arial" w:cs="Arial" w:eastAsia="Arial" w:hAnsi="Arial"/>
                <w:sz w:val="21"/>
                <w:szCs w:val="21"/>
                <w:color w:val="auto"/>
                <w:vertAlign w:val="superscript"/>
              </w:rPr>
              <w:t>(2)</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2"/>
                <w:szCs w:val="22"/>
                <w:color w:val="auto"/>
              </w:rPr>
            </w:pPr>
          </w:p>
        </w:tc>
      </w:tr>
      <w:tr>
        <w:trPr>
          <w:trHeight w:val="262"/>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Less: Foreign currency exchange</w:t>
            </w:r>
          </w:p>
        </w:tc>
        <w:tc>
          <w:tcPr>
            <w:tcW w:w="3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w:t>
            </w:r>
          </w:p>
        </w:tc>
        <w:tc>
          <w:tcPr>
            <w:tcW w:w="360" w:type="dxa"/>
            <w:vAlign w:val="bottom"/>
            <w:tcBorders>
              <w:bottom w:val="single" w:sz="8" w:color="E4E4E4"/>
            </w:tcBorders>
            <w:shd w:val="clear" w:color="auto" w:fill="E4E4E4"/>
          </w:tcPr>
          <w:p>
            <w:pPr>
              <w:spacing w:after="0"/>
              <w:rPr>
                <w:sz w:val="22"/>
                <w:szCs w:val="22"/>
                <w:color w:val="auto"/>
              </w:rPr>
            </w:pPr>
          </w:p>
        </w:tc>
        <w:tc>
          <w:tcPr>
            <w:tcW w:w="128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4E4E4"/>
            </w:tcBorders>
            <w:shd w:val="clear" w:color="auto" w:fill="E4E4E4"/>
          </w:tcPr>
          <w:p>
            <w:pPr>
              <w:spacing w:after="0"/>
              <w:rPr>
                <w:sz w:val="22"/>
                <w:szCs w:val="22"/>
                <w:color w:val="auto"/>
              </w:rPr>
            </w:pPr>
          </w:p>
        </w:tc>
      </w:tr>
      <w:tr>
        <w:trPr>
          <w:trHeight w:val="229"/>
        </w:trPr>
        <w:tc>
          <w:tcPr>
            <w:tcW w:w="68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Organic revenue*</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20,363</w:t>
            </w:r>
          </w:p>
        </w:tc>
        <w:tc>
          <w:tcPr>
            <w:tcW w:w="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19,667</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w:t>
            </w:r>
          </w:p>
        </w:tc>
      </w:tr>
      <w:tr>
        <w:trPr>
          <w:trHeight w:val="21"/>
        </w:trPr>
        <w:tc>
          <w:tcPr>
            <w:tcW w:w="6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left="440" w:right="160" w:hanging="414"/>
        <w:spacing w:after="0" w:line="299" w:lineRule="auto"/>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revenues attributable to acquisitions from the date the Company completed the transaction through the end of four quarters following the transaction, excluding the impact of Foreign currency exchange already captured in lines elsewhere.</w:t>
      </w:r>
    </w:p>
    <w:p>
      <w:pPr>
        <w:ind w:left="440" w:hanging="414"/>
        <w:spacing w:after="0"/>
        <w:tabs>
          <w:tab w:leader="none" w:pos="4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revenues attributable to dispositions for the four quarters preceding the disposition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3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336"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Adjusted EBIT*</w:t>
            </w:r>
          </w:p>
        </w:tc>
        <w:tc>
          <w:tcPr>
            <w:tcW w:w="340" w:type="dxa"/>
            <w:vAlign w:val="bottom"/>
          </w:tcPr>
          <w:p>
            <w:pPr>
              <w:spacing w:after="0"/>
              <w:rPr>
                <w:sz w:val="20"/>
                <w:szCs w:val="20"/>
                <w:color w:val="auto"/>
              </w:rPr>
            </w:pPr>
          </w:p>
        </w:tc>
        <w:tc>
          <w:tcPr>
            <w:tcW w:w="406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84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6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439"/>
              <w:spacing w:after="0"/>
              <w:rPr>
                <w:sz w:val="20"/>
                <w:szCs w:val="20"/>
                <w:color w:val="auto"/>
              </w:rPr>
            </w:pPr>
            <w:r>
              <w:rPr>
                <w:rFonts w:ascii="Arial" w:cs="Arial" w:eastAsia="Arial" w:hAnsi="Arial"/>
                <w:sz w:val="16"/>
                <w:szCs w:val="16"/>
                <w:b w:val="1"/>
                <w:bCs w:val="1"/>
                <w:color w:val="454545"/>
              </w:rPr>
              <w:t>2025</w:t>
            </w:r>
          </w:p>
        </w:tc>
        <w:tc>
          <w:tcPr>
            <w:tcW w:w="360" w:type="dxa"/>
            <w:vAlign w:val="bottom"/>
          </w:tcPr>
          <w:p>
            <w:pPr>
              <w:spacing w:after="0"/>
              <w:rPr>
                <w:sz w:val="19"/>
                <w:szCs w:val="19"/>
                <w:color w:val="auto"/>
              </w:rPr>
            </w:pPr>
          </w:p>
        </w:tc>
        <w:tc>
          <w:tcPr>
            <w:tcW w:w="130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2024</w:t>
            </w:r>
          </w:p>
        </w:tc>
        <w:tc>
          <w:tcPr>
            <w:tcW w:w="1300" w:type="dxa"/>
            <w:vAlign w:val="bottom"/>
          </w:tcPr>
          <w:p>
            <w:pPr>
              <w:jc w:val="right"/>
              <w:ind w:right="23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84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6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attributable to GE HealthCare</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2,084</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1,993</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w:t>
            </w:r>
          </w:p>
        </w:tc>
      </w:tr>
      <w:tr>
        <w:trPr>
          <w:trHeight w:val="228"/>
        </w:trPr>
        <w:tc>
          <w:tcPr>
            <w:tcW w:w="6840" w:type="dxa"/>
            <w:vAlign w:val="bottom"/>
          </w:tcPr>
          <w:p>
            <w:pPr>
              <w:ind w:left="20"/>
              <w:spacing w:after="0"/>
              <w:rPr>
                <w:sz w:val="20"/>
                <w:szCs w:val="20"/>
                <w:color w:val="auto"/>
              </w:rPr>
            </w:pPr>
            <w:r>
              <w:rPr>
                <w:rFonts w:ascii="Arial" w:cs="Arial" w:eastAsia="Arial" w:hAnsi="Arial"/>
                <w:sz w:val="16"/>
                <w:szCs w:val="16"/>
                <w:color w:val="auto"/>
              </w:rPr>
              <w:t>Add: Interest and other financial charges –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440</w:t>
            </w:r>
          </w:p>
        </w:tc>
        <w:tc>
          <w:tcPr>
            <w:tcW w:w="360" w:type="dxa"/>
            <w:vAlign w:val="bottom"/>
          </w:tcPr>
          <w:p>
            <w:pPr>
              <w:spacing w:after="0"/>
              <w:rPr>
                <w:sz w:val="19"/>
                <w:szCs w:val="19"/>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504</w:t>
            </w:r>
          </w:p>
        </w:tc>
        <w:tc>
          <w:tcPr>
            <w:tcW w:w="1300" w:type="dxa"/>
            <w:vAlign w:val="bottom"/>
          </w:tcPr>
          <w:p>
            <w:pPr>
              <w:spacing w:after="0"/>
              <w:rPr>
                <w:sz w:val="19"/>
                <w:szCs w:val="19"/>
                <w:color w:val="auto"/>
              </w:rPr>
            </w:pPr>
          </w:p>
        </w:tc>
      </w:tr>
      <w:tr>
        <w:trPr>
          <w:trHeight w:val="29"/>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6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Non-operating benefit (income) costs</w:t>
            </w: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(288)</w:t>
            </w:r>
          </w:p>
        </w:tc>
        <w:tc>
          <w:tcPr>
            <w:tcW w:w="36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(406)</w:t>
            </w:r>
          </w:p>
        </w:tc>
        <w:tc>
          <w:tcPr>
            <w:tcW w:w="1300" w:type="dxa"/>
            <w:vAlign w:val="bottom"/>
            <w:tcBorders>
              <w:bottom w:val="single" w:sz="8" w:color="E4E4E4"/>
            </w:tcBorders>
            <w:shd w:val="clear" w:color="auto" w:fill="E4E4E4"/>
          </w:tcPr>
          <w:p>
            <w:pPr>
              <w:spacing w:after="0"/>
              <w:rPr>
                <w:sz w:val="20"/>
                <w:szCs w:val="20"/>
                <w:color w:val="auto"/>
              </w:rPr>
            </w:pPr>
          </w:p>
        </w:tc>
      </w:tr>
      <w:tr>
        <w:trPr>
          <w:trHeight w:val="228"/>
        </w:trPr>
        <w:tc>
          <w:tcPr>
            <w:tcW w:w="6840" w:type="dxa"/>
            <w:vAlign w:val="bottom"/>
          </w:tcPr>
          <w:p>
            <w:pPr>
              <w:ind w:left="20"/>
              <w:spacing w:after="0"/>
              <w:rPr>
                <w:sz w:val="20"/>
                <w:szCs w:val="20"/>
                <w:color w:val="auto"/>
              </w:rPr>
            </w:pPr>
            <w:r>
              <w:rPr>
                <w:rFonts w:ascii="Arial" w:cs="Arial" w:eastAsia="Arial" w:hAnsi="Arial"/>
                <w:sz w:val="16"/>
                <w:szCs w:val="16"/>
                <w:color w:val="auto"/>
              </w:rPr>
              <w:t>Less: Benefit (provision)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(614)</w:t>
            </w:r>
          </w:p>
        </w:tc>
        <w:tc>
          <w:tcPr>
            <w:tcW w:w="360" w:type="dxa"/>
            <w:vAlign w:val="bottom"/>
          </w:tcPr>
          <w:p>
            <w:pPr>
              <w:spacing w:after="0"/>
              <w:rPr>
                <w:sz w:val="19"/>
                <w:szCs w:val="19"/>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(531)</w:t>
            </w:r>
          </w:p>
        </w:tc>
        <w:tc>
          <w:tcPr>
            <w:tcW w:w="1300" w:type="dxa"/>
            <w:vAlign w:val="bottom"/>
          </w:tcPr>
          <w:p>
            <w:pPr>
              <w:spacing w:after="0"/>
              <w:rPr>
                <w:sz w:val="19"/>
                <w:szCs w:val="19"/>
                <w:color w:val="auto"/>
              </w:rPr>
            </w:pPr>
          </w:p>
        </w:tc>
      </w:tr>
      <w:tr>
        <w:trPr>
          <w:trHeight w:val="29"/>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62"/>
        </w:trPr>
        <w:tc>
          <w:tcPr>
            <w:tcW w:w="6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Net (income) loss attributable to noncontrolling interests</w:t>
            </w:r>
          </w:p>
        </w:tc>
        <w:tc>
          <w:tcPr>
            <w:tcW w:w="3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w:t>
            </w:r>
          </w:p>
        </w:tc>
        <w:tc>
          <w:tcPr>
            <w:tcW w:w="360" w:type="dxa"/>
            <w:vAlign w:val="bottom"/>
            <w:tcBorders>
              <w:bottom w:val="single" w:sz="8" w:color="E4E4E4"/>
            </w:tcBorders>
            <w:shd w:val="clear" w:color="auto" w:fill="E4E4E4"/>
          </w:tcPr>
          <w:p>
            <w:pPr>
              <w:spacing w:after="0"/>
              <w:rPr>
                <w:sz w:val="22"/>
                <w:szCs w:val="22"/>
                <w:color w:val="auto"/>
              </w:rPr>
            </w:pPr>
          </w:p>
        </w:tc>
        <w:tc>
          <w:tcPr>
            <w:tcW w:w="130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(57)</w:t>
            </w:r>
          </w:p>
        </w:tc>
        <w:tc>
          <w:tcPr>
            <w:tcW w:w="1300" w:type="dxa"/>
            <w:vAlign w:val="bottom"/>
            <w:tcBorders>
              <w:bottom w:val="single" w:sz="8" w:color="E4E4E4"/>
            </w:tcBorders>
            <w:shd w:val="clear" w:color="auto" w:fill="E4E4E4"/>
          </w:tcPr>
          <w:p>
            <w:pPr>
              <w:spacing w:after="0"/>
              <w:rPr>
                <w:sz w:val="22"/>
                <w:szCs w:val="22"/>
                <w:color w:val="auto"/>
              </w:rPr>
            </w:pPr>
          </w:p>
        </w:tc>
      </w:tr>
      <w:tr>
        <w:trPr>
          <w:trHeight w:val="229"/>
        </w:trPr>
        <w:tc>
          <w:tcPr>
            <w:tcW w:w="6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EBIT*</w:t>
            </w: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2,920</w:t>
            </w: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2,679</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r>
      <w:tr>
        <w:trPr>
          <w:trHeight w:val="21"/>
        </w:trPr>
        <w:tc>
          <w:tcPr>
            <w:tcW w:w="6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50"/>
        </w:trPr>
        <w:tc>
          <w:tcPr>
            <w:tcW w:w="684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340" w:type="dxa"/>
            <w:vAlign w:val="bottom"/>
            <w:shd w:val="clear" w:color="auto" w:fill="E4E4E4"/>
          </w:tcPr>
          <w:p>
            <w:pPr>
              <w:spacing w:after="0"/>
              <w:rPr>
                <w:sz w:val="21"/>
                <w:szCs w:val="21"/>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120</w:t>
            </w:r>
          </w:p>
        </w:tc>
        <w:tc>
          <w:tcPr>
            <w:tcW w:w="360" w:type="dxa"/>
            <w:vAlign w:val="bottom"/>
            <w:shd w:val="clear" w:color="auto" w:fill="E4E4E4"/>
          </w:tcPr>
          <w:p>
            <w:pPr>
              <w:spacing w:after="0"/>
              <w:rPr>
                <w:sz w:val="21"/>
                <w:szCs w:val="21"/>
                <w:color w:val="auto"/>
              </w:rPr>
            </w:pPr>
          </w:p>
        </w:tc>
        <w:tc>
          <w:tcPr>
            <w:tcW w:w="1300" w:type="dxa"/>
            <w:vAlign w:val="bottom"/>
            <w:shd w:val="clear" w:color="auto" w:fill="E4E4E4"/>
          </w:tcPr>
          <w:p>
            <w:pPr>
              <w:jc w:val="right"/>
              <w:ind w:right="139"/>
              <w:spacing w:after="0"/>
              <w:rPr>
                <w:sz w:val="20"/>
                <w:szCs w:val="20"/>
                <w:color w:val="auto"/>
              </w:rPr>
            </w:pPr>
            <w:r>
              <w:rPr>
                <w:rFonts w:ascii="Arial" w:cs="Arial" w:eastAsia="Arial" w:hAnsi="Arial"/>
                <w:sz w:val="16"/>
                <w:szCs w:val="16"/>
                <w:color w:val="auto"/>
              </w:rPr>
              <w:t>120</w:t>
            </w:r>
          </w:p>
        </w:tc>
        <w:tc>
          <w:tcPr>
            <w:tcW w:w="1300" w:type="dxa"/>
            <w:vAlign w:val="bottom"/>
            <w:shd w:val="clear" w:color="auto" w:fill="E4E4E4"/>
          </w:tcPr>
          <w:p>
            <w:pPr>
              <w:spacing w:after="0"/>
              <w:rPr>
                <w:sz w:val="21"/>
                <w:szCs w:val="21"/>
                <w:color w:val="auto"/>
              </w:rPr>
            </w:pPr>
          </w:p>
        </w:tc>
      </w:tr>
      <w:tr>
        <w:trPr>
          <w:trHeight w:val="257"/>
        </w:trPr>
        <w:tc>
          <w:tcPr>
            <w:tcW w:w="6840" w:type="dxa"/>
            <w:vAlign w:val="bottom"/>
          </w:tcPr>
          <w:p>
            <w:pPr>
              <w:ind w:left="2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w:t>
            </w:r>
          </w:p>
        </w:tc>
        <w:tc>
          <w:tcPr>
            <w:tcW w:w="360" w:type="dxa"/>
            <w:vAlign w:val="bottom"/>
          </w:tcPr>
          <w:p>
            <w:pPr>
              <w:spacing w:after="0"/>
              <w:rPr>
                <w:sz w:val="22"/>
                <w:szCs w:val="22"/>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3</w:t>
            </w:r>
          </w:p>
        </w:tc>
        <w:tc>
          <w:tcPr>
            <w:tcW w:w="1300" w:type="dxa"/>
            <w:vAlign w:val="bottom"/>
          </w:tcPr>
          <w:p>
            <w:pPr>
              <w:spacing w:after="0"/>
              <w:rPr>
                <w:sz w:val="22"/>
                <w:szCs w:val="22"/>
                <w:color w:val="auto"/>
              </w:rPr>
            </w:pPr>
          </w:p>
        </w:tc>
      </w:tr>
      <w:tr>
        <w:trPr>
          <w:trHeight w:val="257"/>
        </w:trPr>
        <w:tc>
          <w:tcPr>
            <w:tcW w:w="6840" w:type="dxa"/>
            <w:vAlign w:val="bottom"/>
            <w:shd w:val="clear" w:color="auto" w:fill="E4E4E4"/>
          </w:tcPr>
          <w:p>
            <w:pPr>
              <w:ind w:left="2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340" w:type="dxa"/>
            <w:vAlign w:val="bottom"/>
            <w:shd w:val="clear" w:color="auto" w:fill="E4E4E4"/>
          </w:tcPr>
          <w:p>
            <w:pPr>
              <w:spacing w:after="0"/>
              <w:rPr>
                <w:sz w:val="22"/>
                <w:szCs w:val="22"/>
                <w:color w:val="auto"/>
              </w:rPr>
            </w:pPr>
          </w:p>
        </w:tc>
        <w:tc>
          <w:tcPr>
            <w:tcW w:w="11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360" w:type="dxa"/>
            <w:vAlign w:val="bottom"/>
            <w:shd w:val="clear" w:color="auto" w:fill="E4E4E4"/>
          </w:tcPr>
          <w:p>
            <w:pPr>
              <w:spacing w:after="0"/>
              <w:rPr>
                <w:sz w:val="22"/>
                <w:szCs w:val="22"/>
                <w:color w:val="auto"/>
              </w:rPr>
            </w:pPr>
          </w:p>
        </w:tc>
        <w:tc>
          <w:tcPr>
            <w:tcW w:w="1300" w:type="dxa"/>
            <w:vAlign w:val="bottom"/>
            <w:shd w:val="clear" w:color="auto" w:fill="E4E4E4"/>
          </w:tcPr>
          <w:p>
            <w:pPr>
              <w:jc w:val="right"/>
              <w:ind w:right="139"/>
              <w:spacing w:after="0"/>
              <w:rPr>
                <w:sz w:val="20"/>
                <w:szCs w:val="20"/>
                <w:color w:val="auto"/>
              </w:rPr>
            </w:pPr>
            <w:r>
              <w:rPr>
                <w:rFonts w:ascii="Arial" w:cs="Arial" w:eastAsia="Arial" w:hAnsi="Arial"/>
                <w:sz w:val="16"/>
                <w:szCs w:val="16"/>
                <w:color w:val="auto"/>
              </w:rPr>
              <w:t>251</w:t>
            </w:r>
          </w:p>
        </w:tc>
        <w:tc>
          <w:tcPr>
            <w:tcW w:w="1300" w:type="dxa"/>
            <w:vAlign w:val="bottom"/>
            <w:shd w:val="clear" w:color="auto" w:fill="E4E4E4"/>
          </w:tcPr>
          <w:p>
            <w:pPr>
              <w:spacing w:after="0"/>
              <w:rPr>
                <w:sz w:val="22"/>
                <w:szCs w:val="22"/>
                <w:color w:val="auto"/>
              </w:rPr>
            </w:pPr>
          </w:p>
        </w:tc>
      </w:tr>
      <w:tr>
        <w:trPr>
          <w:trHeight w:val="256"/>
        </w:trPr>
        <w:tc>
          <w:tcPr>
            <w:tcW w:w="6840" w:type="dxa"/>
            <w:vAlign w:val="bottom"/>
          </w:tcPr>
          <w:p>
            <w:pPr>
              <w:ind w:left="2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360" w:type="dxa"/>
            <w:vAlign w:val="bottom"/>
          </w:tcPr>
          <w:p>
            <w:pPr>
              <w:spacing w:after="0"/>
              <w:rPr>
                <w:sz w:val="22"/>
                <w:szCs w:val="22"/>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Pr>
          <w:p>
            <w:pPr>
              <w:spacing w:after="0"/>
              <w:rPr>
                <w:sz w:val="22"/>
                <w:szCs w:val="22"/>
                <w:color w:val="auto"/>
              </w:rPr>
            </w:pPr>
          </w:p>
        </w:tc>
      </w:tr>
      <w:tr>
        <w:trPr>
          <w:trHeight w:val="237"/>
        </w:trPr>
        <w:tc>
          <w:tcPr>
            <w:tcW w:w="6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Amortization of acquisition-related intangible assets</w:t>
            </w: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156</w:t>
            </w:r>
          </w:p>
        </w:tc>
        <w:tc>
          <w:tcPr>
            <w:tcW w:w="36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137</w:t>
            </w:r>
          </w:p>
        </w:tc>
        <w:tc>
          <w:tcPr>
            <w:tcW w:w="1300" w:type="dxa"/>
            <w:vAlign w:val="bottom"/>
            <w:tcBorders>
              <w:bottom w:val="single" w:sz="8" w:color="E4E4E4"/>
            </w:tcBorders>
            <w:shd w:val="clear" w:color="auto" w:fill="E4E4E4"/>
          </w:tcPr>
          <w:p>
            <w:pPr>
              <w:spacing w:after="0"/>
              <w:rPr>
                <w:sz w:val="20"/>
                <w:szCs w:val="20"/>
                <w:color w:val="auto"/>
              </w:rPr>
            </w:pPr>
          </w:p>
        </w:tc>
      </w:tr>
      <w:tr>
        <w:trPr>
          <w:trHeight w:val="257"/>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22</w:t>
            </w:r>
          </w:p>
        </w:tc>
        <w:tc>
          <w:tcPr>
            <w:tcW w:w="1300" w:type="dxa"/>
            <w:vAlign w:val="bottom"/>
            <w:tcBorders>
              <w:bottom w:val="single" w:sz="8" w:color="auto"/>
            </w:tcBorders>
          </w:tcPr>
          <w:p>
            <w:pPr>
              <w:spacing w:after="0"/>
              <w:rPr>
                <w:sz w:val="22"/>
                <w:szCs w:val="22"/>
                <w:color w:val="auto"/>
              </w:rPr>
            </w:pPr>
          </w:p>
        </w:tc>
      </w:tr>
      <w:tr>
        <w:trPr>
          <w:trHeight w:val="230"/>
        </w:trPr>
        <w:tc>
          <w:tcPr>
            <w:tcW w:w="6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Adjusted EBIT*</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3,155</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3,211</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r>
      <w:tr>
        <w:trPr>
          <w:trHeight w:val="235"/>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Net income margin</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10.1%</w:t>
            </w:r>
          </w:p>
        </w:tc>
        <w:tc>
          <w:tcPr>
            <w:tcW w:w="360" w:type="dxa"/>
            <w:vAlign w:val="bottom"/>
          </w:tcPr>
          <w:p>
            <w:pPr>
              <w:spacing w:after="0"/>
              <w:rPr>
                <w:sz w:val="20"/>
                <w:szCs w:val="20"/>
                <w:color w:val="auto"/>
              </w:rPr>
            </w:pPr>
          </w:p>
        </w:tc>
        <w:tc>
          <w:tcPr>
            <w:tcW w:w="1300" w:type="dxa"/>
            <w:vAlign w:val="bottom"/>
          </w:tcPr>
          <w:p>
            <w:pPr>
              <w:jc w:val="right"/>
              <w:ind w:right="139"/>
              <w:spacing w:after="0"/>
              <w:rPr>
                <w:sz w:val="20"/>
                <w:szCs w:val="20"/>
                <w:color w:val="auto"/>
              </w:rPr>
            </w:pPr>
            <w:r>
              <w:rPr>
                <w:rFonts w:ascii="Arial" w:cs="Arial" w:eastAsia="Arial" w:hAnsi="Arial"/>
                <w:sz w:val="16"/>
                <w:szCs w:val="16"/>
                <w:b w:val="1"/>
                <w:bCs w:val="1"/>
                <w:color w:val="auto"/>
              </w:rPr>
              <w:t>10.1%</w:t>
            </w: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 bps</w:t>
            </w:r>
          </w:p>
        </w:tc>
      </w:tr>
      <w:tr>
        <w:trPr>
          <w:trHeight w:val="21"/>
        </w:trPr>
        <w:tc>
          <w:tcPr>
            <w:tcW w:w="6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6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Adjusted EBIT margin*</w:t>
            </w:r>
          </w:p>
        </w:tc>
        <w:tc>
          <w:tcPr>
            <w:tcW w:w="3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15.3%</w:t>
            </w:r>
          </w:p>
        </w:tc>
        <w:tc>
          <w:tcPr>
            <w:tcW w:w="36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16.3%</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 bps</w:t>
            </w:r>
          </w:p>
        </w:tc>
      </w:tr>
      <w:tr>
        <w:trPr>
          <w:trHeight w:val="20"/>
        </w:trPr>
        <w:tc>
          <w:tcPr>
            <w:tcW w:w="6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ind w:left="440" w:right="200" w:hanging="414"/>
        <w:spacing w:after="0" w:line="286"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w:t>
      </w:r>
    </w:p>
    <w:p>
      <w:pPr>
        <w:spacing w:after="0" w:line="7" w:lineRule="exact"/>
        <w:rPr>
          <w:rFonts w:ascii="Arial" w:cs="Arial" w:eastAsia="Arial" w:hAnsi="Arial"/>
          <w:sz w:val="16"/>
          <w:szCs w:val="16"/>
          <w:color w:val="auto"/>
        </w:rPr>
      </w:pPr>
    </w:p>
    <w:p>
      <w:pPr>
        <w:ind w:left="440" w:hanging="414"/>
        <w:spacing w:after="0"/>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120" w:hanging="414"/>
        <w:spacing w:after="0" w:line="286" w:lineRule="auto"/>
        <w:tabs>
          <w:tab w:leader="none" w:pos="4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year ended December 31, 2025, includes the impact from the revaluation of our existing 50% interest in NMP as part of the acquisition transaction.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Adjusted Net Income*</w:t>
            </w:r>
          </w:p>
        </w:tc>
        <w:tc>
          <w:tcPr>
            <w:tcW w:w="340" w:type="dxa"/>
            <w:vAlign w:val="bottom"/>
          </w:tcPr>
          <w:p>
            <w:pPr>
              <w:spacing w:after="0"/>
              <w:rPr>
                <w:sz w:val="22"/>
                <w:szCs w:val="22"/>
                <w:color w:val="auto"/>
              </w:rPr>
            </w:pPr>
          </w:p>
        </w:tc>
        <w:tc>
          <w:tcPr>
            <w:tcW w:w="406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84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29"/>
        </w:trPr>
        <w:tc>
          <w:tcPr>
            <w:tcW w:w="6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2025</w:t>
            </w:r>
          </w:p>
        </w:tc>
        <w:tc>
          <w:tcPr>
            <w:tcW w:w="340" w:type="dxa"/>
            <w:vAlign w:val="bottom"/>
          </w:tcPr>
          <w:p>
            <w:pPr>
              <w:spacing w:after="0"/>
              <w:rPr>
                <w:sz w:val="19"/>
                <w:szCs w:val="19"/>
                <w:color w:val="auto"/>
              </w:rPr>
            </w:pPr>
          </w:p>
        </w:tc>
        <w:tc>
          <w:tcPr>
            <w:tcW w:w="1320" w:type="dxa"/>
            <w:vAlign w:val="bottom"/>
          </w:tcPr>
          <w:p>
            <w:pPr>
              <w:jc w:val="right"/>
              <w:ind w:right="659"/>
              <w:spacing w:after="0"/>
              <w:rPr>
                <w:sz w:val="20"/>
                <w:szCs w:val="20"/>
                <w:color w:val="auto"/>
              </w:rPr>
            </w:pPr>
            <w:r>
              <w:rPr>
                <w:rFonts w:ascii="Arial" w:cs="Arial" w:eastAsia="Arial" w:hAnsi="Arial"/>
                <w:sz w:val="16"/>
                <w:szCs w:val="16"/>
                <w:b w:val="1"/>
                <w:bCs w:val="1"/>
                <w:color w:val="454545"/>
              </w:rPr>
              <w:t>2024</w:t>
            </w:r>
          </w:p>
        </w:tc>
        <w:tc>
          <w:tcPr>
            <w:tcW w:w="1280" w:type="dxa"/>
            <w:vAlign w:val="bottom"/>
          </w:tcPr>
          <w:p>
            <w:pPr>
              <w:jc w:val="right"/>
              <w:ind w:right="23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84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12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320" w:type="dxa"/>
            <w:vAlign w:val="bottom"/>
            <w:tcBorders>
              <w:bottom w:val="single" w:sz="8" w:color="6400A0"/>
            </w:tcBorders>
          </w:tcPr>
          <w:p>
            <w:pPr>
              <w:spacing w:after="0" w:line="20" w:lineRule="exact"/>
              <w:rPr>
                <w:sz w:val="1"/>
                <w:szCs w:val="1"/>
                <w:color w:val="auto"/>
              </w:rPr>
            </w:pPr>
          </w:p>
        </w:tc>
        <w:tc>
          <w:tcPr>
            <w:tcW w:w="1280" w:type="dxa"/>
            <w:vAlign w:val="bottom"/>
            <w:tcBorders>
              <w:bottom w:val="single" w:sz="8" w:color="6400A0"/>
            </w:tcBorders>
          </w:tcPr>
          <w:p>
            <w:pPr>
              <w:spacing w:after="0" w:line="20" w:lineRule="exact"/>
              <w:rPr>
                <w:sz w:val="1"/>
                <w:szCs w:val="1"/>
                <w:color w:val="auto"/>
              </w:rPr>
            </w:pPr>
          </w:p>
        </w:tc>
      </w:tr>
      <w:tr>
        <w:trPr>
          <w:trHeight w:val="270"/>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Net income attributable to GE HealthCare</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2,084</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1,993</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w:t>
            </w:r>
          </w:p>
        </w:tc>
      </w:tr>
      <w:tr>
        <w:trPr>
          <w:trHeight w:val="268"/>
        </w:trPr>
        <w:tc>
          <w:tcPr>
            <w:tcW w:w="684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(288)</w:t>
            </w:r>
          </w:p>
        </w:tc>
        <w:tc>
          <w:tcPr>
            <w:tcW w:w="340" w:type="dxa"/>
            <w:vAlign w:val="bottom"/>
          </w:tcPr>
          <w:p>
            <w:pPr>
              <w:spacing w:after="0"/>
              <w:rPr>
                <w:sz w:val="23"/>
                <w:szCs w:val="23"/>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(406)</w:t>
            </w:r>
          </w:p>
        </w:tc>
        <w:tc>
          <w:tcPr>
            <w:tcW w:w="1280" w:type="dxa"/>
            <w:vAlign w:val="bottom"/>
          </w:tcPr>
          <w:p>
            <w:pPr>
              <w:spacing w:after="0"/>
              <w:rPr>
                <w:sz w:val="23"/>
                <w:szCs w:val="23"/>
                <w:color w:val="auto"/>
              </w:rPr>
            </w:pPr>
          </w:p>
        </w:tc>
      </w:tr>
      <w:tr>
        <w:trPr>
          <w:trHeight w:val="29"/>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68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340" w:type="dxa"/>
            <w:vAlign w:val="bottom"/>
            <w:shd w:val="clear" w:color="auto" w:fill="E4E4E4"/>
          </w:tcPr>
          <w:p>
            <w:pPr>
              <w:spacing w:after="0"/>
              <w:rPr>
                <w:sz w:val="24"/>
                <w:szCs w:val="24"/>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120</w:t>
            </w:r>
          </w:p>
        </w:tc>
        <w:tc>
          <w:tcPr>
            <w:tcW w:w="340" w:type="dxa"/>
            <w:vAlign w:val="bottom"/>
            <w:shd w:val="clear" w:color="auto" w:fill="E4E4E4"/>
          </w:tcPr>
          <w:p>
            <w:pPr>
              <w:spacing w:after="0"/>
              <w:rPr>
                <w:sz w:val="24"/>
                <w:szCs w:val="24"/>
                <w:color w:val="auto"/>
              </w:rPr>
            </w:pPr>
          </w:p>
        </w:tc>
        <w:tc>
          <w:tcPr>
            <w:tcW w:w="1320" w:type="dxa"/>
            <w:vAlign w:val="bottom"/>
            <w:shd w:val="clear" w:color="auto" w:fill="E4E4E4"/>
          </w:tcPr>
          <w:p>
            <w:pPr>
              <w:jc w:val="right"/>
              <w:ind w:right="159"/>
              <w:spacing w:after="0"/>
              <w:rPr>
                <w:sz w:val="20"/>
                <w:szCs w:val="20"/>
                <w:color w:val="auto"/>
              </w:rPr>
            </w:pPr>
            <w:r>
              <w:rPr>
                <w:rFonts w:ascii="Arial" w:cs="Arial" w:eastAsia="Arial" w:hAnsi="Arial"/>
                <w:sz w:val="16"/>
                <w:szCs w:val="16"/>
                <w:color w:val="auto"/>
              </w:rPr>
              <w:t>120</w:t>
            </w:r>
          </w:p>
        </w:tc>
        <w:tc>
          <w:tcPr>
            <w:tcW w:w="1280" w:type="dxa"/>
            <w:vAlign w:val="bottom"/>
            <w:shd w:val="clear" w:color="auto" w:fill="E4E4E4"/>
          </w:tcPr>
          <w:p>
            <w:pPr>
              <w:spacing w:after="0"/>
              <w:rPr>
                <w:sz w:val="24"/>
                <w:szCs w:val="24"/>
                <w:color w:val="auto"/>
              </w:rPr>
            </w:pPr>
          </w:p>
        </w:tc>
      </w:tr>
      <w:tr>
        <w:trPr>
          <w:trHeight w:val="297"/>
        </w:trPr>
        <w:tc>
          <w:tcPr>
            <w:tcW w:w="684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w:t>
            </w:r>
          </w:p>
        </w:tc>
        <w:tc>
          <w:tcPr>
            <w:tcW w:w="340" w:type="dxa"/>
            <w:vAlign w:val="bottom"/>
          </w:tcPr>
          <w:p>
            <w:pPr>
              <w:spacing w:after="0"/>
              <w:rPr>
                <w:sz w:val="24"/>
                <w:szCs w:val="24"/>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1280" w:type="dxa"/>
            <w:vAlign w:val="bottom"/>
          </w:tcPr>
          <w:p>
            <w:pPr>
              <w:spacing w:after="0"/>
              <w:rPr>
                <w:sz w:val="24"/>
                <w:szCs w:val="24"/>
                <w:color w:val="auto"/>
              </w:rPr>
            </w:pPr>
          </w:p>
        </w:tc>
      </w:tr>
      <w:tr>
        <w:trPr>
          <w:trHeight w:val="297"/>
        </w:trPr>
        <w:tc>
          <w:tcPr>
            <w:tcW w:w="68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340" w:type="dxa"/>
            <w:vAlign w:val="bottom"/>
            <w:shd w:val="clear" w:color="auto" w:fill="E4E4E4"/>
          </w:tcPr>
          <w:p>
            <w:pPr>
              <w:spacing w:after="0"/>
              <w:rPr>
                <w:sz w:val="24"/>
                <w:szCs w:val="24"/>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43</w:t>
            </w:r>
          </w:p>
        </w:tc>
        <w:tc>
          <w:tcPr>
            <w:tcW w:w="340" w:type="dxa"/>
            <w:vAlign w:val="bottom"/>
            <w:shd w:val="clear" w:color="auto" w:fill="E4E4E4"/>
          </w:tcPr>
          <w:p>
            <w:pPr>
              <w:spacing w:after="0"/>
              <w:rPr>
                <w:sz w:val="24"/>
                <w:szCs w:val="24"/>
                <w:color w:val="auto"/>
              </w:rPr>
            </w:pPr>
          </w:p>
        </w:tc>
        <w:tc>
          <w:tcPr>
            <w:tcW w:w="1320" w:type="dxa"/>
            <w:vAlign w:val="bottom"/>
            <w:shd w:val="clear" w:color="auto" w:fill="E4E4E4"/>
          </w:tcPr>
          <w:p>
            <w:pPr>
              <w:jc w:val="right"/>
              <w:ind w:right="159"/>
              <w:spacing w:after="0"/>
              <w:rPr>
                <w:sz w:val="20"/>
                <w:szCs w:val="20"/>
                <w:color w:val="auto"/>
              </w:rPr>
            </w:pPr>
            <w:r>
              <w:rPr>
                <w:rFonts w:ascii="Arial" w:cs="Arial" w:eastAsia="Arial" w:hAnsi="Arial"/>
                <w:sz w:val="16"/>
                <w:szCs w:val="16"/>
                <w:color w:val="auto"/>
              </w:rPr>
              <w:t>251</w:t>
            </w:r>
          </w:p>
        </w:tc>
        <w:tc>
          <w:tcPr>
            <w:tcW w:w="1280" w:type="dxa"/>
            <w:vAlign w:val="bottom"/>
            <w:shd w:val="clear" w:color="auto" w:fill="E4E4E4"/>
          </w:tcPr>
          <w:p>
            <w:pPr>
              <w:spacing w:after="0"/>
              <w:rPr>
                <w:sz w:val="24"/>
                <w:szCs w:val="24"/>
                <w:color w:val="auto"/>
              </w:rPr>
            </w:pPr>
          </w:p>
        </w:tc>
      </w:tr>
      <w:tr>
        <w:trPr>
          <w:trHeight w:val="297"/>
        </w:trPr>
        <w:tc>
          <w:tcPr>
            <w:tcW w:w="684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24"/>
                <w:szCs w:val="24"/>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Pr>
          <w:p>
            <w:pPr>
              <w:spacing w:after="0"/>
              <w:rPr>
                <w:sz w:val="24"/>
                <w:szCs w:val="24"/>
                <w:color w:val="auto"/>
              </w:rPr>
            </w:pPr>
          </w:p>
        </w:tc>
      </w:tr>
      <w:tr>
        <w:trPr>
          <w:trHeight w:val="277"/>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340" w:type="dxa"/>
            <w:vAlign w:val="bottom"/>
            <w:tcBorders>
              <w:bottom w:val="single" w:sz="8" w:color="E4E4E4"/>
            </w:tcBorders>
            <w:shd w:val="clear" w:color="auto" w:fill="E4E4E4"/>
          </w:tcPr>
          <w:p>
            <w:pPr>
              <w:spacing w:after="0"/>
              <w:rPr>
                <w:sz w:val="24"/>
                <w:szCs w:val="24"/>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156</w:t>
            </w:r>
          </w:p>
        </w:tc>
        <w:tc>
          <w:tcPr>
            <w:tcW w:w="340" w:type="dxa"/>
            <w:vAlign w:val="bottom"/>
            <w:tcBorders>
              <w:bottom w:val="single" w:sz="8" w:color="E4E4E4"/>
            </w:tcBorders>
            <w:shd w:val="clear" w:color="auto" w:fill="E4E4E4"/>
          </w:tcPr>
          <w:p>
            <w:pPr>
              <w:spacing w:after="0"/>
              <w:rPr>
                <w:sz w:val="24"/>
                <w:szCs w:val="24"/>
                <w:color w:val="auto"/>
              </w:rPr>
            </w:pPr>
          </w:p>
        </w:tc>
        <w:tc>
          <w:tcPr>
            <w:tcW w:w="13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137</w:t>
            </w:r>
          </w:p>
        </w:tc>
        <w:tc>
          <w:tcPr>
            <w:tcW w:w="1280" w:type="dxa"/>
            <w:vAlign w:val="bottom"/>
            <w:tcBorders>
              <w:bottom w:val="single" w:sz="8" w:color="E4E4E4"/>
            </w:tcBorders>
            <w:shd w:val="clear" w:color="auto" w:fill="E4E4E4"/>
          </w:tcPr>
          <w:p>
            <w:pPr>
              <w:spacing w:after="0"/>
              <w:rPr>
                <w:sz w:val="24"/>
                <w:szCs w:val="24"/>
                <w:color w:val="auto"/>
              </w:rPr>
            </w:pPr>
          </w:p>
        </w:tc>
      </w:tr>
      <w:tr>
        <w:trPr>
          <w:trHeight w:val="297"/>
        </w:trPr>
        <w:tc>
          <w:tcPr>
            <w:tcW w:w="684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w:t>
            </w:r>
          </w:p>
        </w:tc>
        <w:tc>
          <w:tcPr>
            <w:tcW w:w="340" w:type="dxa"/>
            <w:vAlign w:val="bottom"/>
          </w:tcPr>
          <w:p>
            <w:pPr>
              <w:spacing w:after="0"/>
              <w:rPr>
                <w:sz w:val="24"/>
                <w:szCs w:val="24"/>
                <w:color w:val="auto"/>
              </w:rPr>
            </w:pP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22</w:t>
            </w:r>
          </w:p>
        </w:tc>
        <w:tc>
          <w:tcPr>
            <w:tcW w:w="1280" w:type="dxa"/>
            <w:vAlign w:val="bottom"/>
          </w:tcPr>
          <w:p>
            <w:pPr>
              <w:spacing w:after="0"/>
              <w:rPr>
                <w:sz w:val="24"/>
                <w:szCs w:val="24"/>
                <w:color w:val="auto"/>
              </w:rPr>
            </w:pPr>
          </w:p>
        </w:tc>
      </w:tr>
      <w:tr>
        <w:trPr>
          <w:trHeight w:val="256"/>
        </w:trPr>
        <w:tc>
          <w:tcPr>
            <w:tcW w:w="684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(6)</w:t>
            </w:r>
          </w:p>
        </w:tc>
        <w:tc>
          <w:tcPr>
            <w:tcW w:w="340" w:type="dxa"/>
            <w:vAlign w:val="bottom"/>
            <w:shd w:val="clear" w:color="auto" w:fill="E4E4E4"/>
          </w:tcPr>
          <w:p>
            <w:pPr>
              <w:spacing w:after="0"/>
              <w:rPr>
                <w:sz w:val="22"/>
                <w:szCs w:val="22"/>
                <w:color w:val="auto"/>
              </w:rPr>
            </w:pPr>
          </w:p>
        </w:tc>
        <w:tc>
          <w:tcPr>
            <w:tcW w:w="11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40" w:type="dxa"/>
            <w:vAlign w:val="bottom"/>
            <w:shd w:val="clear" w:color="auto" w:fill="E4E4E4"/>
          </w:tcPr>
          <w:p>
            <w:pPr>
              <w:spacing w:after="0"/>
              <w:rPr>
                <w:sz w:val="22"/>
                <w:szCs w:val="22"/>
                <w:color w:val="auto"/>
              </w:rPr>
            </w:pPr>
          </w:p>
        </w:tc>
        <w:tc>
          <w:tcPr>
            <w:tcW w:w="132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(42)</w:t>
            </w:r>
          </w:p>
        </w:tc>
        <w:tc>
          <w:tcPr>
            <w:tcW w:w="1280" w:type="dxa"/>
            <w:vAlign w:val="bottom"/>
            <w:shd w:val="clear" w:color="auto" w:fill="E4E4E4"/>
          </w:tcPr>
          <w:p>
            <w:pPr>
              <w:spacing w:after="0"/>
              <w:rPr>
                <w:sz w:val="22"/>
                <w:szCs w:val="22"/>
                <w:color w:val="auto"/>
              </w:rPr>
            </w:pPr>
          </w:p>
        </w:tc>
      </w:tr>
      <w:tr>
        <w:trPr>
          <w:trHeight w:val="297"/>
        </w:trPr>
        <w:tc>
          <w:tcPr>
            <w:tcW w:w="6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(7)</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w:t>
            </w:r>
          </w:p>
        </w:tc>
        <w:tc>
          <w:tcPr>
            <w:tcW w:w="1280" w:type="dxa"/>
            <w:vAlign w:val="bottom"/>
            <w:tcBorders>
              <w:bottom w:val="single" w:sz="8" w:color="auto"/>
            </w:tcBorders>
          </w:tcPr>
          <w:p>
            <w:pPr>
              <w:spacing w:after="0"/>
              <w:rPr>
                <w:sz w:val="24"/>
                <w:szCs w:val="24"/>
                <w:color w:val="auto"/>
              </w:rPr>
            </w:pPr>
          </w:p>
        </w:tc>
      </w:tr>
      <w:tr>
        <w:trPr>
          <w:trHeight w:val="270"/>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Adjusted net income*</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2,100</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2,060</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r>
      <w:tr>
        <w:trPr>
          <w:trHeight w:val="20"/>
        </w:trPr>
        <w:tc>
          <w:tcPr>
            <w:tcW w:w="6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45" w:lineRule="exact"/>
        <w:rPr>
          <w:rFonts w:ascii="Arial" w:cs="Arial" w:eastAsia="Arial" w:hAnsi="Arial"/>
          <w:sz w:val="16"/>
          <w:szCs w:val="16"/>
          <w:color w:val="auto"/>
        </w:rPr>
      </w:pPr>
    </w:p>
    <w:p>
      <w:pPr>
        <w:ind w:left="440" w:right="520" w:hanging="414"/>
        <w:spacing w:after="0" w:line="281"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1" w:lineRule="exact"/>
        <w:rPr>
          <w:rFonts w:ascii="Arial" w:cs="Arial" w:eastAsia="Arial" w:hAnsi="Arial"/>
          <w:sz w:val="16"/>
          <w:szCs w:val="16"/>
          <w:color w:val="auto"/>
        </w:rPr>
      </w:pPr>
    </w:p>
    <w:p>
      <w:pPr>
        <w:jc w:val="both"/>
        <w:ind w:left="440" w:right="180" w:hanging="414"/>
        <w:spacing w:after="0" w:line="266"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 An adjustment is included to eliminate the associated impact on Net (income) loss attributable to noncontrolling interests for applicable costs that impact earnings attributable to noncontrolling interests.</w:t>
      </w:r>
    </w:p>
    <w:p>
      <w:pPr>
        <w:spacing w:after="0" w:line="9" w:lineRule="exact"/>
        <w:rPr>
          <w:rFonts w:ascii="Arial" w:cs="Arial" w:eastAsia="Arial" w:hAnsi="Arial"/>
          <w:sz w:val="16"/>
          <w:szCs w:val="16"/>
          <w:color w:val="auto"/>
        </w:rPr>
      </w:pPr>
    </w:p>
    <w:p>
      <w:pPr>
        <w:ind w:left="440" w:hanging="414"/>
        <w:spacing w:after="0"/>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59" w:lineRule="exact"/>
        <w:rPr>
          <w:rFonts w:ascii="Arial" w:cs="Arial" w:eastAsia="Arial" w:hAnsi="Arial"/>
          <w:sz w:val="16"/>
          <w:szCs w:val="16"/>
          <w:color w:val="auto"/>
        </w:rPr>
      </w:pPr>
    </w:p>
    <w:p>
      <w:pPr>
        <w:ind w:left="440" w:right="120" w:hanging="414"/>
        <w:spacing w:after="0" w:line="281"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year ended December 31, 2025, includes the impact from the revaluation of our existing 50% interest in NMP as part of the acquisition transaction.</w:t>
      </w:r>
    </w:p>
    <w:p>
      <w:pPr>
        <w:spacing w:after="0" w:line="1" w:lineRule="exact"/>
        <w:rPr>
          <w:rFonts w:ascii="Arial" w:cs="Arial" w:eastAsia="Arial" w:hAnsi="Arial"/>
          <w:sz w:val="16"/>
          <w:szCs w:val="16"/>
          <w:color w:val="auto"/>
        </w:rPr>
      </w:pPr>
    </w:p>
    <w:p>
      <w:pPr>
        <w:ind w:left="440" w:right="320" w:hanging="414"/>
        <w:spacing w:after="0" w:line="281"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1" w:lineRule="exact"/>
        <w:rPr>
          <w:rFonts w:ascii="Arial" w:cs="Arial" w:eastAsia="Arial" w:hAnsi="Arial"/>
          <w:sz w:val="16"/>
          <w:szCs w:val="16"/>
          <w:color w:val="auto"/>
        </w:rPr>
      </w:pPr>
    </w:p>
    <w:p>
      <w:pPr>
        <w:ind w:left="440" w:right="160" w:hanging="414"/>
        <w:spacing w:after="0" w:line="266" w:lineRule="auto"/>
        <w:tabs>
          <w:tab w:leader="none" w:pos="4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one-time adjustments to deferred tax balances, impacts from tax law changes, the release of income tax reserves in a foreign jurisdiction for tax years which are no longer subject to an assessment from the local taxing authorities, and discrete tax impacts resulting from the Spin-Off and separation from GE.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2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20" w:gutter="0" w:footer="0" w:header="0"/>
          <w:type w:val="continuous"/>
        </w:sectPr>
      </w:pPr>
    </w:p>
    <w:bookmarkStart w:id="45" w:name="page46"/>
    <w:bookmarkEnd w:id="4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Adjusted Earnings Per Share*</w:t>
            </w:r>
          </w:p>
        </w:tc>
        <w:tc>
          <w:tcPr>
            <w:tcW w:w="340" w:type="dxa"/>
            <w:vAlign w:val="bottom"/>
          </w:tcPr>
          <w:p>
            <w:pPr>
              <w:spacing w:after="0"/>
              <w:rPr>
                <w:sz w:val="22"/>
                <w:szCs w:val="22"/>
                <w:color w:val="auto"/>
              </w:rPr>
            </w:pPr>
          </w:p>
        </w:tc>
        <w:tc>
          <w:tcPr>
            <w:tcW w:w="4080" w:type="dxa"/>
            <w:vAlign w:val="bottom"/>
            <w:gridSpan w:val="5"/>
          </w:tcPr>
          <w:p>
            <w:pPr>
              <w:jc w:val="right"/>
              <w:ind w:right="83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682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dollars, except shares outstanding presented in millions)</w:t>
            </w:r>
          </w:p>
        </w:tc>
        <w:tc>
          <w:tcPr>
            <w:tcW w:w="34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68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2025</w:t>
            </w:r>
          </w:p>
        </w:tc>
        <w:tc>
          <w:tcPr>
            <w:tcW w:w="320" w:type="dxa"/>
            <w:vAlign w:val="bottom"/>
          </w:tcPr>
          <w:p>
            <w:pPr>
              <w:spacing w:after="0"/>
              <w:rPr>
                <w:sz w:val="19"/>
                <w:szCs w:val="19"/>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2024</w:t>
            </w:r>
          </w:p>
        </w:tc>
        <w:tc>
          <w:tcPr>
            <w:tcW w:w="260" w:type="dxa"/>
            <w:vAlign w:val="bottom"/>
          </w:tcPr>
          <w:p>
            <w:pPr>
              <w:spacing w:after="0"/>
              <w:rPr>
                <w:sz w:val="19"/>
                <w:szCs w:val="19"/>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454545"/>
              </w:rPr>
              <w:t>$ change</w:t>
            </w:r>
          </w:p>
        </w:tc>
        <w:tc>
          <w:tcPr>
            <w:tcW w:w="0" w:type="dxa"/>
            <w:vAlign w:val="bottom"/>
          </w:tcPr>
          <w:p>
            <w:pPr>
              <w:spacing w:after="0"/>
              <w:rPr>
                <w:sz w:val="1"/>
                <w:szCs w:val="1"/>
                <w:color w:val="auto"/>
              </w:rPr>
            </w:pPr>
          </w:p>
        </w:tc>
      </w:tr>
      <w:tr>
        <w:trPr>
          <w:trHeight w:val="21"/>
        </w:trPr>
        <w:tc>
          <w:tcPr>
            <w:tcW w:w="682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1220" w:type="dxa"/>
            <w:vAlign w:val="bottom"/>
            <w:tcBorders>
              <w:bottom w:val="single" w:sz="8" w:color="6400A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0"/>
        </w:trPr>
        <w:tc>
          <w:tcPr>
            <w:tcW w:w="68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Diluted earnings per share</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4.55</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4.34</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0.21</w:t>
            </w:r>
          </w:p>
        </w:tc>
        <w:tc>
          <w:tcPr>
            <w:tcW w:w="0" w:type="dxa"/>
            <w:vAlign w:val="bottom"/>
          </w:tcPr>
          <w:p>
            <w:pPr>
              <w:spacing w:after="0"/>
              <w:rPr>
                <w:sz w:val="1"/>
                <w:szCs w:val="1"/>
                <w:color w:val="auto"/>
              </w:rPr>
            </w:pPr>
          </w:p>
        </w:tc>
      </w:tr>
      <w:tr>
        <w:trPr>
          <w:trHeight w:val="241"/>
        </w:trPr>
        <w:tc>
          <w:tcPr>
            <w:tcW w:w="6820" w:type="dxa"/>
            <w:vAlign w:val="bottom"/>
          </w:tcPr>
          <w:p>
            <w:pPr>
              <w:ind w:left="80"/>
              <w:spacing w:after="0"/>
              <w:rPr>
                <w:sz w:val="20"/>
                <w:szCs w:val="20"/>
                <w:color w:val="auto"/>
              </w:rPr>
            </w:pPr>
            <w:r>
              <w:rPr>
                <w:rFonts w:ascii="Arial" w:cs="Arial" w:eastAsia="Arial" w:hAnsi="Arial"/>
                <w:sz w:val="16"/>
                <w:szCs w:val="16"/>
                <w:color w:val="auto"/>
              </w:rPr>
              <w:t>Add: Non-operating benefit (income) costs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(0.63)</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(0.88)</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
        </w:trPr>
        <w:tc>
          <w:tcPr>
            <w:tcW w:w="68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68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Restructuring costs</w:t>
            </w:r>
            <w:r>
              <w:rPr>
                <w:rFonts w:ascii="Arial" w:cs="Arial" w:eastAsia="Arial" w:hAnsi="Arial"/>
                <w:sz w:val="21"/>
                <w:szCs w:val="21"/>
                <w:color w:val="auto"/>
                <w:vertAlign w:val="superscript"/>
              </w:rPr>
              <w:t>(1)</w:t>
            </w:r>
          </w:p>
        </w:tc>
        <w:tc>
          <w:tcPr>
            <w:tcW w:w="34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0.26</w:t>
            </w:r>
          </w:p>
        </w:tc>
        <w:tc>
          <w:tcPr>
            <w:tcW w:w="32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0.26</w:t>
            </w:r>
          </w:p>
        </w:tc>
        <w:tc>
          <w:tcPr>
            <w:tcW w:w="260" w:type="dxa"/>
            <w:vAlign w:val="bottom"/>
            <w:shd w:val="clear" w:color="auto" w:fill="E4E4E4"/>
          </w:tcPr>
          <w:p>
            <w:pPr>
              <w:spacing w:after="0"/>
              <w:rPr>
                <w:sz w:val="24"/>
                <w:szCs w:val="24"/>
                <w:color w:val="auto"/>
              </w:rPr>
            </w:pPr>
          </w:p>
        </w:tc>
        <w:tc>
          <w:tcPr>
            <w:tcW w:w="12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20" w:type="dxa"/>
            <w:vAlign w:val="bottom"/>
          </w:tcPr>
          <w:p>
            <w:pPr>
              <w:ind w:left="80"/>
              <w:spacing w:after="0"/>
              <w:rPr>
                <w:sz w:val="20"/>
                <w:szCs w:val="20"/>
                <w:color w:val="auto"/>
              </w:rPr>
            </w:pPr>
            <w:r>
              <w:rPr>
                <w:rFonts w:ascii="Arial" w:cs="Arial" w:eastAsia="Arial" w:hAnsi="Arial"/>
                <w:sz w:val="16"/>
                <w:szCs w:val="16"/>
                <w:color w:val="auto"/>
              </w:rPr>
              <w:t>Add: Acquisition and disposition-related charges (benefits)</w:t>
            </w:r>
            <w:r>
              <w:rPr>
                <w:rFonts w:ascii="Arial" w:cs="Arial" w:eastAsia="Arial" w:hAnsi="Arial"/>
                <w:sz w:val="21"/>
                <w:szCs w:val="21"/>
                <w:color w:val="auto"/>
                <w:vertAlign w:val="superscript"/>
              </w:rPr>
              <w:t>(2)</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0.08</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Spin-Off and separation costs</w:t>
            </w:r>
            <w:r>
              <w:rPr>
                <w:rFonts w:ascii="Arial" w:cs="Arial" w:eastAsia="Arial" w:hAnsi="Arial"/>
                <w:sz w:val="21"/>
                <w:szCs w:val="21"/>
                <w:color w:val="auto"/>
                <w:vertAlign w:val="superscript"/>
              </w:rPr>
              <w:t>(3)</w:t>
            </w:r>
          </w:p>
        </w:tc>
        <w:tc>
          <w:tcPr>
            <w:tcW w:w="34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0.09</w:t>
            </w:r>
          </w:p>
        </w:tc>
        <w:tc>
          <w:tcPr>
            <w:tcW w:w="320" w:type="dxa"/>
            <w:vAlign w:val="bottom"/>
            <w:shd w:val="clear" w:color="auto" w:fill="E4E4E4"/>
          </w:tcPr>
          <w:p>
            <w:pPr>
              <w:spacing w:after="0"/>
              <w:rPr>
                <w:sz w:val="24"/>
                <w:szCs w:val="24"/>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0.55</w:t>
            </w:r>
          </w:p>
        </w:tc>
        <w:tc>
          <w:tcPr>
            <w:tcW w:w="260" w:type="dxa"/>
            <w:vAlign w:val="bottom"/>
            <w:shd w:val="clear" w:color="auto" w:fill="E4E4E4"/>
          </w:tcPr>
          <w:p>
            <w:pPr>
              <w:spacing w:after="0"/>
              <w:rPr>
                <w:sz w:val="24"/>
                <w:szCs w:val="24"/>
                <w:color w:val="auto"/>
              </w:rPr>
            </w:pPr>
          </w:p>
        </w:tc>
        <w:tc>
          <w:tcPr>
            <w:tcW w:w="1220" w:type="dxa"/>
            <w:vAlign w:val="bottom"/>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20" w:type="dxa"/>
            <w:vAlign w:val="bottom"/>
          </w:tcPr>
          <w:p>
            <w:pPr>
              <w:ind w:left="80"/>
              <w:spacing w:after="0"/>
              <w:rPr>
                <w:sz w:val="20"/>
                <w:szCs w:val="20"/>
                <w:color w:val="auto"/>
              </w:rPr>
            </w:pPr>
            <w:r>
              <w:rPr>
                <w:rFonts w:ascii="Arial" w:cs="Arial" w:eastAsia="Arial" w:hAnsi="Arial"/>
                <w:sz w:val="16"/>
                <w:szCs w:val="16"/>
                <w:color w:val="auto"/>
              </w:rPr>
              <w:t>Add: (Gain) loss on business and asset dispositions</w:t>
            </w:r>
            <w:r>
              <w:rPr>
                <w:rFonts w:ascii="Arial" w:cs="Arial" w:eastAsia="Arial" w:hAnsi="Arial"/>
                <w:sz w:val="21"/>
                <w:szCs w:val="21"/>
                <w:color w:val="auto"/>
                <w:vertAlign w:val="superscript"/>
              </w:rPr>
              <w:t>(4)</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(0.01)</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Amortization of acquisition-related intangible assets</w:t>
            </w:r>
          </w:p>
        </w:tc>
        <w:tc>
          <w:tcPr>
            <w:tcW w:w="34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0.34</w:t>
            </w:r>
          </w:p>
        </w:tc>
        <w:tc>
          <w:tcPr>
            <w:tcW w:w="320" w:type="dxa"/>
            <w:vAlign w:val="bottom"/>
            <w:tcBorders>
              <w:bottom w:val="single" w:sz="8" w:color="E4E4E4"/>
            </w:tcBorders>
            <w:shd w:val="clear" w:color="auto" w:fill="E4E4E4"/>
          </w:tcPr>
          <w:p>
            <w:pPr>
              <w:spacing w:after="0"/>
              <w:rPr>
                <w:sz w:val="24"/>
                <w:szCs w:val="24"/>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0.30</w:t>
            </w:r>
          </w:p>
        </w:tc>
        <w:tc>
          <w:tcPr>
            <w:tcW w:w="260" w:type="dxa"/>
            <w:vAlign w:val="bottom"/>
            <w:tcBorders>
              <w:bottom w:val="single" w:sz="8" w:color="E4E4E4"/>
            </w:tcBorders>
            <w:shd w:val="clear" w:color="auto" w:fill="E4E4E4"/>
          </w:tcPr>
          <w:p>
            <w:pPr>
              <w:spacing w:after="0"/>
              <w:rPr>
                <w:sz w:val="24"/>
                <w:szCs w:val="24"/>
                <w:color w:val="auto"/>
              </w:rPr>
            </w:pPr>
          </w:p>
        </w:tc>
        <w:tc>
          <w:tcPr>
            <w:tcW w:w="1220" w:type="dxa"/>
            <w:vAlign w:val="bottom"/>
            <w:tcBorders>
              <w:bottom w:val="single" w:sz="8" w:color="E4E4E4"/>
            </w:tcBorders>
            <w:shd w:val="clear" w:color="auto" w:fill="E4E4E4"/>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820" w:type="dxa"/>
            <w:vAlign w:val="bottom"/>
          </w:tcPr>
          <w:p>
            <w:pPr>
              <w:ind w:left="80"/>
              <w:spacing w:after="0"/>
              <w:rPr>
                <w:sz w:val="20"/>
                <w:szCs w:val="20"/>
                <w:color w:val="auto"/>
              </w:rPr>
            </w:pPr>
            <w:r>
              <w:rPr>
                <w:rFonts w:ascii="Arial" w:cs="Arial" w:eastAsia="Arial" w:hAnsi="Arial"/>
                <w:sz w:val="16"/>
                <w:szCs w:val="16"/>
                <w:color w:val="auto"/>
              </w:rPr>
              <w:t>Add: Investment revaluation (gain) loss</w:t>
            </w:r>
            <w:r>
              <w:rPr>
                <w:rFonts w:ascii="Arial" w:cs="Arial" w:eastAsia="Arial" w:hAnsi="Arial"/>
                <w:sz w:val="21"/>
                <w:szCs w:val="21"/>
                <w:color w:val="auto"/>
                <w:vertAlign w:val="superscript"/>
              </w:rPr>
              <w:t>(5)</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(0.24)</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0.05</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820" w:type="dxa"/>
            <w:vAlign w:val="bottom"/>
            <w:shd w:val="clear" w:color="auto" w:fill="E4E4E4"/>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(6)</w:t>
            </w:r>
          </w:p>
        </w:tc>
        <w:tc>
          <w:tcPr>
            <w:tcW w:w="340" w:type="dxa"/>
            <w:vAlign w:val="bottom"/>
            <w:shd w:val="clear" w:color="auto" w:fill="E4E4E4"/>
          </w:tcPr>
          <w:p>
            <w:pPr>
              <w:spacing w:after="0"/>
              <w:rPr>
                <w:sz w:val="22"/>
                <w:szCs w:val="22"/>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(0.02)</w:t>
            </w:r>
          </w:p>
        </w:tc>
        <w:tc>
          <w:tcPr>
            <w:tcW w:w="320" w:type="dxa"/>
            <w:vAlign w:val="bottom"/>
            <w:shd w:val="clear" w:color="auto" w:fill="E4E4E4"/>
          </w:tcPr>
          <w:p>
            <w:pPr>
              <w:spacing w:after="0"/>
              <w:rPr>
                <w:sz w:val="22"/>
                <w:szCs w:val="22"/>
                <w:color w:val="auto"/>
              </w:rPr>
            </w:pPr>
          </w:p>
        </w:tc>
        <w:tc>
          <w:tcPr>
            <w:tcW w:w="11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(0.09)</w:t>
            </w:r>
          </w:p>
        </w:tc>
        <w:tc>
          <w:tcPr>
            <w:tcW w:w="260" w:type="dxa"/>
            <w:vAlign w:val="bottom"/>
            <w:shd w:val="clear" w:color="auto" w:fill="E4E4E4"/>
          </w:tcPr>
          <w:p>
            <w:pPr>
              <w:spacing w:after="0"/>
              <w:rPr>
                <w:sz w:val="22"/>
                <w:szCs w:val="22"/>
                <w:color w:val="auto"/>
              </w:rPr>
            </w:pPr>
          </w:p>
        </w:tc>
        <w:tc>
          <w:tcPr>
            <w:tcW w:w="1220" w:type="dxa"/>
            <w:vAlign w:val="bottom"/>
            <w:shd w:val="clear" w:color="auto" w:fill="E4E4E4"/>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68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(7)</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82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Adjusted earnings per share*</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4.59</w:t>
            </w:r>
          </w:p>
        </w:tc>
        <w:tc>
          <w:tcPr>
            <w:tcW w:w="3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4.49</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0.10</w:t>
            </w:r>
          </w:p>
        </w:tc>
        <w:tc>
          <w:tcPr>
            <w:tcW w:w="0" w:type="dxa"/>
            <w:vAlign w:val="bottom"/>
          </w:tcPr>
          <w:p>
            <w:pPr>
              <w:spacing w:after="0"/>
              <w:rPr>
                <w:sz w:val="1"/>
                <w:szCs w:val="1"/>
                <w:color w:val="auto"/>
              </w:rPr>
            </w:pPr>
          </w:p>
        </w:tc>
      </w:tr>
      <w:tr>
        <w:trPr>
          <w:trHeight w:val="229"/>
        </w:trPr>
        <w:tc>
          <w:tcPr>
            <w:tcW w:w="682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Diluted weighted-average shares outstanding</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458</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459</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440" w:hanging="414"/>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severance, facility closures, and other charges associated with restructuring programs.</w:t>
      </w:r>
    </w:p>
    <w:p>
      <w:pPr>
        <w:spacing w:after="0" w:line="59" w:lineRule="exact"/>
        <w:rPr>
          <w:rFonts w:ascii="Arial" w:cs="Arial" w:eastAsia="Arial" w:hAnsi="Arial"/>
          <w:sz w:val="16"/>
          <w:szCs w:val="16"/>
          <w:color w:val="auto"/>
        </w:rPr>
      </w:pPr>
    </w:p>
    <w:p>
      <w:pPr>
        <w:ind w:left="440" w:right="520" w:hanging="414"/>
        <w:spacing w:after="0" w:line="286"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legal, consulting, and other transaction and integration fees, and adjustments to contingent consideration, as well as other purchase accounting related charges and other costs directly related to the transactions.</w:t>
      </w:r>
    </w:p>
    <w:p>
      <w:pPr>
        <w:spacing w:after="0" w:line="7" w:lineRule="exact"/>
        <w:rPr>
          <w:rFonts w:ascii="Arial" w:cs="Arial" w:eastAsia="Arial" w:hAnsi="Arial"/>
          <w:sz w:val="16"/>
          <w:szCs w:val="16"/>
          <w:color w:val="auto"/>
        </w:rPr>
      </w:pPr>
    </w:p>
    <w:p>
      <w:pPr>
        <w:jc w:val="both"/>
        <w:ind w:left="440" w:right="180" w:hanging="414"/>
        <w:spacing w:after="0" w:line="275"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Costs incurred in the Spin-Off and separation from GE, including system implementations, audit and advisory fees, legal entity separation, Founders Grant equity awards, separation agreements with GE, and other one-time costs. An adjustment is included to eliminate the associated impact on Net (income) loss attributable to noncontrolling interests for applicable costs that impact earnings attributable to noncontrolling interests.</w:t>
      </w:r>
    </w:p>
    <w:p>
      <w:pPr>
        <w:spacing w:after="0" w:line="2" w:lineRule="exact"/>
        <w:rPr>
          <w:rFonts w:ascii="Arial" w:cs="Arial" w:eastAsia="Arial" w:hAnsi="Arial"/>
          <w:sz w:val="16"/>
          <w:szCs w:val="16"/>
          <w:color w:val="auto"/>
        </w:rPr>
      </w:pPr>
    </w:p>
    <w:p>
      <w:pPr>
        <w:ind w:left="440" w:hanging="414"/>
        <w:spacing w:after="0"/>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gains and losses resulting from the sale of assets and investments.</w:t>
      </w:r>
    </w:p>
    <w:p>
      <w:pPr>
        <w:spacing w:after="0" w:line="72" w:lineRule="exact"/>
        <w:rPr>
          <w:rFonts w:ascii="Arial" w:cs="Arial" w:eastAsia="Arial" w:hAnsi="Arial"/>
          <w:sz w:val="16"/>
          <w:szCs w:val="16"/>
          <w:color w:val="auto"/>
        </w:rPr>
      </w:pPr>
    </w:p>
    <w:p>
      <w:pPr>
        <w:ind w:left="440" w:right="120" w:hanging="414"/>
        <w:spacing w:after="0" w:line="286"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Primarily relates to valuation adjustments for equity investments and for the year ended December 31, 2025, includes the impact from the revaluation of our existing 50% interest in NMP as part of the acquisition transaction.</w:t>
      </w:r>
    </w:p>
    <w:p>
      <w:pPr>
        <w:spacing w:after="0" w:line="7" w:lineRule="exact"/>
        <w:rPr>
          <w:rFonts w:ascii="Arial" w:cs="Arial" w:eastAsia="Arial" w:hAnsi="Arial"/>
          <w:sz w:val="16"/>
          <w:szCs w:val="16"/>
          <w:color w:val="auto"/>
        </w:rPr>
      </w:pPr>
    </w:p>
    <w:p>
      <w:pPr>
        <w:ind w:left="440" w:right="320" w:hanging="414"/>
        <w:spacing w:after="0" w:line="286"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spacing w:after="0" w:line="7" w:lineRule="exact"/>
        <w:rPr>
          <w:rFonts w:ascii="Arial" w:cs="Arial" w:eastAsia="Arial" w:hAnsi="Arial"/>
          <w:sz w:val="16"/>
          <w:szCs w:val="16"/>
          <w:color w:val="auto"/>
        </w:rPr>
      </w:pPr>
    </w:p>
    <w:p>
      <w:pPr>
        <w:ind w:left="440" w:right="160" w:hanging="414"/>
        <w:spacing w:after="0" w:line="275"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one-time adjustments to deferred tax balances, impacts from tax law changes, the release of income tax reserves in a foreign jurisdiction for tax years which are no longer subject to an assessment from the local taxing authorities, and discrete tax impacts resulting from the Spin-Off and separation from GE.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Adjusted Tax Expense* and Adjusted ETR*</w:t>
            </w:r>
          </w:p>
        </w:tc>
        <w:tc>
          <w:tcPr>
            <w:tcW w:w="220" w:type="dxa"/>
            <w:vAlign w:val="bottom"/>
          </w:tcPr>
          <w:p>
            <w:pPr>
              <w:spacing w:after="0"/>
              <w:rPr>
                <w:sz w:val="19"/>
                <w:szCs w:val="19"/>
                <w:color w:val="auto"/>
              </w:rPr>
            </w:pPr>
          </w:p>
        </w:tc>
        <w:tc>
          <w:tcPr>
            <w:tcW w:w="3020" w:type="dxa"/>
            <w:vAlign w:val="bottom"/>
            <w:gridSpan w:val="3"/>
          </w:tcPr>
          <w:p>
            <w:pPr>
              <w:jc w:val="right"/>
              <w:ind w:right="23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800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8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2025</w:t>
            </w:r>
          </w:p>
        </w:tc>
        <w:tc>
          <w:tcPr>
            <w:tcW w:w="380" w:type="dxa"/>
            <w:vAlign w:val="bottom"/>
          </w:tcPr>
          <w:p>
            <w:pPr>
              <w:spacing w:after="0"/>
              <w:rPr>
                <w:sz w:val="19"/>
                <w:szCs w:val="19"/>
                <w:color w:val="auto"/>
              </w:rPr>
            </w:pPr>
          </w:p>
        </w:tc>
        <w:tc>
          <w:tcPr>
            <w:tcW w:w="126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2024</w:t>
            </w:r>
          </w:p>
        </w:tc>
      </w:tr>
      <w:tr>
        <w:trPr>
          <w:trHeight w:val="21"/>
        </w:trPr>
        <w:tc>
          <w:tcPr>
            <w:tcW w:w="80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80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Benefit (provision) for income taxes</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(614)</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(531)</w:t>
            </w:r>
          </w:p>
        </w:tc>
      </w:tr>
      <w:tr>
        <w:trPr>
          <w:trHeight w:val="256"/>
        </w:trPr>
        <w:tc>
          <w:tcPr>
            <w:tcW w:w="8000" w:type="dxa"/>
            <w:vAlign w:val="bottom"/>
          </w:tcPr>
          <w:p>
            <w:pPr>
              <w:ind w:left="80"/>
              <w:spacing w:after="0"/>
              <w:rPr>
                <w:sz w:val="20"/>
                <w:szCs w:val="20"/>
                <w:color w:val="auto"/>
              </w:rPr>
            </w:pPr>
            <w:r>
              <w:rPr>
                <w:rFonts w:ascii="Arial" w:cs="Arial" w:eastAsia="Arial" w:hAnsi="Arial"/>
                <w:sz w:val="16"/>
                <w:szCs w:val="16"/>
                <w:color w:val="auto"/>
              </w:rPr>
              <w:t>Add: Tax effect of reconciling items</w:t>
            </w:r>
            <w:r>
              <w:rPr>
                <w:rFonts w:ascii="Arial" w:cs="Arial" w:eastAsia="Arial" w:hAnsi="Arial"/>
                <w:sz w:val="21"/>
                <w:szCs w:val="21"/>
                <w:color w:val="auto"/>
                <w:vertAlign w:val="superscript"/>
              </w:rPr>
              <w:t>(1)</w:t>
            </w:r>
          </w:p>
        </w:tc>
        <w:tc>
          <w:tcPr>
            <w:tcW w:w="2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w:t>
            </w:r>
          </w:p>
        </w:tc>
        <w:tc>
          <w:tcPr>
            <w:tcW w:w="3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97"/>
        </w:trPr>
        <w:tc>
          <w:tcPr>
            <w:tcW w:w="8000" w:type="dxa"/>
            <w:vAlign w:val="bottom"/>
            <w:tcBorders>
              <w:bottom w:val="single" w:sz="8" w:color="auto"/>
            </w:tcBorders>
            <w:shd w:val="clear" w:color="auto" w:fill="E4E4E4"/>
          </w:tcPr>
          <w:p>
            <w:pPr>
              <w:ind w:left="80"/>
              <w:spacing w:after="0"/>
              <w:rPr>
                <w:sz w:val="20"/>
                <w:szCs w:val="20"/>
                <w:color w:val="auto"/>
              </w:rPr>
            </w:pPr>
            <w:r>
              <w:rPr>
                <w:rFonts w:ascii="Arial" w:cs="Arial" w:eastAsia="Arial" w:hAnsi="Arial"/>
                <w:sz w:val="16"/>
                <w:szCs w:val="16"/>
                <w:color w:val="auto"/>
              </w:rPr>
              <w:t>Add: Spin-Off and other tax adjustments</w:t>
            </w:r>
            <w:r>
              <w:rPr>
                <w:rFonts w:ascii="Arial" w:cs="Arial" w:eastAsia="Arial" w:hAnsi="Arial"/>
                <w:sz w:val="21"/>
                <w:szCs w:val="21"/>
                <w:color w:val="auto"/>
                <w:vertAlign w:val="superscript"/>
              </w:rPr>
              <w:t>(2)</w:t>
            </w:r>
          </w:p>
        </w:tc>
        <w:tc>
          <w:tcPr>
            <w:tcW w:w="220" w:type="dxa"/>
            <w:vAlign w:val="bottom"/>
            <w:tcBorders>
              <w:bottom w:val="single" w:sz="8" w:color="auto"/>
            </w:tcBorders>
            <w:shd w:val="clear" w:color="auto" w:fill="E4E4E4"/>
          </w:tcPr>
          <w:p>
            <w:pPr>
              <w:spacing w:after="0"/>
              <w:rPr>
                <w:sz w:val="24"/>
                <w:szCs w:val="24"/>
                <w:color w:val="auto"/>
              </w:rPr>
            </w:pPr>
          </w:p>
        </w:tc>
        <w:tc>
          <w:tcPr>
            <w:tcW w:w="13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72</w:t>
            </w:r>
          </w:p>
        </w:tc>
        <w:tc>
          <w:tcPr>
            <w:tcW w:w="380" w:type="dxa"/>
            <w:vAlign w:val="bottom"/>
            <w:tcBorders>
              <w:bottom w:val="single" w:sz="8" w:color="auto"/>
            </w:tcBorders>
            <w:shd w:val="clear" w:color="auto" w:fill="E4E4E4"/>
          </w:tcPr>
          <w:p>
            <w:pPr>
              <w:spacing w:after="0"/>
              <w:rPr>
                <w:sz w:val="24"/>
                <w:szCs w:val="24"/>
                <w:color w:val="auto"/>
              </w:rPr>
            </w:pPr>
          </w:p>
        </w:tc>
        <w:tc>
          <w:tcPr>
            <w:tcW w:w="12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(17)</w:t>
            </w:r>
          </w:p>
        </w:tc>
      </w:tr>
      <w:tr>
        <w:trPr>
          <w:trHeight w:val="229"/>
        </w:trPr>
        <w:tc>
          <w:tcPr>
            <w:tcW w:w="8000" w:type="dxa"/>
            <w:vAlign w:val="bottom"/>
          </w:tcPr>
          <w:p>
            <w:pPr>
              <w:ind w:left="80"/>
              <w:spacing w:after="0"/>
              <w:rPr>
                <w:sz w:val="20"/>
                <w:szCs w:val="20"/>
                <w:color w:val="auto"/>
              </w:rPr>
            </w:pPr>
            <w:r>
              <w:rPr>
                <w:rFonts w:ascii="Arial" w:cs="Arial" w:eastAsia="Arial" w:hAnsi="Arial"/>
                <w:sz w:val="16"/>
                <w:szCs w:val="16"/>
                <w:b w:val="1"/>
                <w:bCs w:val="1"/>
                <w:color w:val="auto"/>
              </w:rPr>
              <w:t>Adjusted tax expense*</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3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(590)</w:t>
            </w:r>
          </w:p>
        </w:tc>
      </w:tr>
      <w:tr>
        <w:trPr>
          <w:trHeight w:val="21"/>
        </w:trPr>
        <w:tc>
          <w:tcPr>
            <w:tcW w:w="8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800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Effective tax rate</w:t>
            </w:r>
          </w:p>
        </w:tc>
        <w:tc>
          <w:tcPr>
            <w:tcW w:w="22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22.2%</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20.6%</w:t>
            </w:r>
          </w:p>
        </w:tc>
      </w:tr>
      <w:tr>
        <w:trPr>
          <w:trHeight w:val="235"/>
        </w:trPr>
        <w:tc>
          <w:tcPr>
            <w:tcW w:w="8000" w:type="dxa"/>
            <w:vAlign w:val="bottom"/>
          </w:tcPr>
          <w:p>
            <w:pPr>
              <w:ind w:left="80"/>
              <w:spacing w:after="0"/>
              <w:rPr>
                <w:sz w:val="20"/>
                <w:szCs w:val="20"/>
                <w:color w:val="auto"/>
              </w:rPr>
            </w:pPr>
            <w:r>
              <w:rPr>
                <w:rFonts w:ascii="Arial" w:cs="Arial" w:eastAsia="Arial" w:hAnsi="Arial"/>
                <w:sz w:val="16"/>
                <w:szCs w:val="16"/>
                <w:b w:val="1"/>
                <w:bCs w:val="1"/>
                <w:color w:val="auto"/>
              </w:rPr>
              <w:t>Adjusted effective tax rate*</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20.2%</w:t>
            </w: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21.8%</w:t>
            </w:r>
          </w:p>
        </w:tc>
      </w:tr>
      <w:tr>
        <w:trPr>
          <w:trHeight w:val="21"/>
        </w:trPr>
        <w:tc>
          <w:tcPr>
            <w:tcW w:w="8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440" w:right="320" w:hanging="414"/>
        <w:spacing w:after="0" w:line="290"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tax effect of reconciling items is calculated using the statutory tax rate, taking into consideration the nature of the items and the relevant taxing jurisdiction.</w:t>
      </w:r>
    </w:p>
    <w:p>
      <w:pPr>
        <w:ind w:left="440" w:right="160" w:hanging="414"/>
        <w:spacing w:after="0" w:line="275"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Consists of certain income tax adjustments, including one-time adjustments to deferred tax balances, impacts from tax law changes, the release of income tax reserves in a foreign jurisdiction for tax years which are no longer subject to an assessment from the local taxing authorities, and discrete tax impacts resulting from the Spin-Off and separation from GE.</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tcPr>
          <w:p>
            <w:pPr>
              <w:spacing w:after="0"/>
              <w:rPr>
                <w:sz w:val="19"/>
                <w:szCs w:val="19"/>
                <w:color w:val="auto"/>
              </w:rPr>
            </w:pPr>
          </w:p>
        </w:tc>
        <w:tc>
          <w:tcPr>
            <w:tcW w:w="406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840" w:type="dxa"/>
            <w:vAlign w:val="bottom"/>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32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r>
      <w:tr>
        <w:trPr>
          <w:trHeight w:val="229"/>
        </w:trPr>
        <w:tc>
          <w:tcPr>
            <w:tcW w:w="6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2025</w:t>
            </w:r>
          </w:p>
        </w:tc>
        <w:tc>
          <w:tcPr>
            <w:tcW w:w="340" w:type="dxa"/>
            <w:vAlign w:val="bottom"/>
          </w:tcPr>
          <w:p>
            <w:pPr>
              <w:spacing w:after="0"/>
              <w:rPr>
                <w:sz w:val="19"/>
                <w:szCs w:val="19"/>
                <w:color w:val="auto"/>
              </w:rPr>
            </w:pPr>
          </w:p>
        </w:tc>
        <w:tc>
          <w:tcPr>
            <w:tcW w:w="1320" w:type="dxa"/>
            <w:vAlign w:val="bottom"/>
          </w:tcPr>
          <w:p>
            <w:pPr>
              <w:jc w:val="right"/>
              <w:ind w:right="659"/>
              <w:spacing w:after="0"/>
              <w:rPr>
                <w:sz w:val="20"/>
                <w:szCs w:val="20"/>
                <w:color w:val="auto"/>
              </w:rPr>
            </w:pPr>
            <w:r>
              <w:rPr>
                <w:rFonts w:ascii="Arial" w:cs="Arial" w:eastAsia="Arial" w:hAnsi="Arial"/>
                <w:sz w:val="16"/>
                <w:szCs w:val="16"/>
                <w:b w:val="1"/>
                <w:bCs w:val="1"/>
                <w:color w:val="454545"/>
              </w:rPr>
              <w:t>2024</w:t>
            </w:r>
          </w:p>
        </w:tc>
        <w:tc>
          <w:tcPr>
            <w:tcW w:w="1280" w:type="dxa"/>
            <w:vAlign w:val="bottom"/>
          </w:tcPr>
          <w:p>
            <w:pPr>
              <w:jc w:val="right"/>
              <w:ind w:right="239"/>
              <w:spacing w:after="0"/>
              <w:rPr>
                <w:sz w:val="20"/>
                <w:szCs w:val="20"/>
                <w:color w:val="auto"/>
              </w:rPr>
            </w:pPr>
            <w:r>
              <w:rPr>
                <w:rFonts w:ascii="Arial" w:cs="Arial" w:eastAsia="Arial" w:hAnsi="Arial"/>
                <w:sz w:val="16"/>
                <w:szCs w:val="16"/>
                <w:b w:val="1"/>
                <w:bCs w:val="1"/>
                <w:color w:val="454545"/>
              </w:rPr>
              <w:t>% change</w:t>
            </w:r>
          </w:p>
        </w:tc>
      </w:tr>
      <w:tr>
        <w:trPr>
          <w:trHeight w:val="21"/>
        </w:trPr>
        <w:tc>
          <w:tcPr>
            <w:tcW w:w="684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12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132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r>
      <w:tr>
        <w:trPr>
          <w:trHeight w:val="257"/>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1,987</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1,955</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w:t>
            </w:r>
          </w:p>
        </w:tc>
      </w:tr>
      <w:tr>
        <w:trPr>
          <w:trHeight w:val="255"/>
        </w:trPr>
        <w:tc>
          <w:tcPr>
            <w:tcW w:w="6840" w:type="dxa"/>
            <w:vAlign w:val="bottom"/>
          </w:tcPr>
          <w:p>
            <w:pPr>
              <w:ind w:left="80"/>
              <w:spacing w:after="0"/>
              <w:rPr>
                <w:sz w:val="20"/>
                <w:szCs w:val="20"/>
                <w:color w:val="auto"/>
              </w:rPr>
            </w:pPr>
            <w:r>
              <w:rPr>
                <w:rFonts w:ascii="Arial" w:cs="Arial" w:eastAsia="Arial" w:hAnsi="Arial"/>
                <w:sz w:val="16"/>
                <w:szCs w:val="16"/>
                <w:color w:val="auto"/>
              </w:rPr>
              <w:t>Add: Additions to PP&amp;E and internal-use software</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(482)</w:t>
            </w:r>
          </w:p>
        </w:tc>
        <w:tc>
          <w:tcPr>
            <w:tcW w:w="340" w:type="dxa"/>
            <w:vAlign w:val="bottom"/>
          </w:tcPr>
          <w:p>
            <w:pPr>
              <w:spacing w:after="0"/>
              <w:rPr>
                <w:sz w:val="22"/>
                <w:szCs w:val="22"/>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(401)</w:t>
            </w:r>
          </w:p>
        </w:tc>
        <w:tc>
          <w:tcPr>
            <w:tcW w:w="1280" w:type="dxa"/>
            <w:vAlign w:val="bottom"/>
          </w:tcPr>
          <w:p>
            <w:pPr>
              <w:spacing w:after="0"/>
              <w:rPr>
                <w:sz w:val="22"/>
                <w:szCs w:val="22"/>
                <w:color w:val="auto"/>
              </w:rPr>
            </w:pPr>
          </w:p>
        </w:tc>
      </w:tr>
      <w:tr>
        <w:trPr>
          <w:trHeight w:val="29"/>
        </w:trPr>
        <w:tc>
          <w:tcPr>
            <w:tcW w:w="6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89"/>
        </w:trPr>
        <w:tc>
          <w:tcPr>
            <w:tcW w:w="684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Add: Dispositions of PP&amp;E</w:t>
            </w:r>
          </w:p>
        </w:tc>
        <w:tc>
          <w:tcPr>
            <w:tcW w:w="340" w:type="dxa"/>
            <w:vAlign w:val="bottom"/>
            <w:tcBorders>
              <w:bottom w:val="single" w:sz="8" w:color="E4E4E4"/>
            </w:tcBorders>
            <w:shd w:val="clear" w:color="auto" w:fill="E4E4E4"/>
          </w:tcPr>
          <w:p>
            <w:pPr>
              <w:spacing w:after="0"/>
              <w:rPr>
                <w:sz w:val="24"/>
                <w:szCs w:val="24"/>
                <w:color w:val="auto"/>
              </w:rPr>
            </w:pPr>
          </w:p>
        </w:tc>
        <w:tc>
          <w:tcPr>
            <w:tcW w:w="1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4"/>
                <w:szCs w:val="24"/>
                <w:color w:val="auto"/>
              </w:rPr>
            </w:pPr>
          </w:p>
        </w:tc>
        <w:tc>
          <w:tcPr>
            <w:tcW w:w="132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4E4E4"/>
            </w:tcBorders>
            <w:shd w:val="clear" w:color="auto" w:fill="E4E4E4"/>
          </w:tcPr>
          <w:p>
            <w:pPr>
              <w:spacing w:after="0"/>
              <w:rPr>
                <w:sz w:val="24"/>
                <w:szCs w:val="24"/>
                <w:color w:val="auto"/>
              </w:rPr>
            </w:pPr>
          </w:p>
        </w:tc>
      </w:tr>
      <w:tr>
        <w:trPr>
          <w:trHeight w:val="256"/>
        </w:trPr>
        <w:tc>
          <w:tcPr>
            <w:tcW w:w="6840" w:type="dxa"/>
            <w:vAlign w:val="bottom"/>
            <w:tcBorders>
              <w:top w:val="single" w:sz="8" w:color="auto"/>
            </w:tcBorders>
          </w:tcPr>
          <w:p>
            <w:pPr>
              <w:ind w:left="80"/>
              <w:spacing w:after="0"/>
              <w:rPr>
                <w:sz w:val="20"/>
                <w:szCs w:val="20"/>
                <w:color w:val="auto"/>
              </w:rPr>
            </w:pPr>
            <w:r>
              <w:rPr>
                <w:rFonts w:ascii="Arial" w:cs="Arial" w:eastAsia="Arial" w:hAnsi="Arial"/>
                <w:sz w:val="16"/>
                <w:szCs w:val="16"/>
                <w:b w:val="1"/>
                <w:bCs w:val="1"/>
                <w:color w:val="auto"/>
              </w:rPr>
              <w:t>Free cash flow*</w:t>
            </w: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1,505</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1,554</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(3.2)%</w:t>
            </w:r>
          </w:p>
        </w:tc>
      </w:tr>
      <w:tr>
        <w:trPr>
          <w:trHeight w:val="21"/>
        </w:trPr>
        <w:tc>
          <w:tcPr>
            <w:tcW w:w="68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60" w:gutter="0" w:footer="0" w:header="0"/>
          <w:type w:val="continuous"/>
        </w:sectPr>
      </w:pPr>
    </w:p>
    <w:bookmarkStart w:id="46" w:name="page47"/>
    <w:bookmarkEnd w:id="4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of December 31, 2025, our Cash, cash equivalents, and restricted cash balance in the Consolidated Statements of Financial Position was $4,512 million. We have historically generated positive cash flows from operating activities. Additionally, we have access to revolving credit facilities and a delayed draw term loan facility of $3,500 million and $750 million, respectively, in aggregate, described in detail in Note 9, “Borrowings.”</w:t>
      </w:r>
    </w:p>
    <w:p>
      <w:pPr>
        <w:spacing w:after="0" w:line="19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believe that our existing balance of Cash, cash equivalents, and restricted cash, future cash generated from operating activities, access to capital markets, and existing credit facilities will be sufficient to meet the needs of our current and ongoing operations, pay taxes due, service our existing debt, and fund investments in our business for at least the next 12 months.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20"/>
                <w:szCs w:val="20"/>
                <w:color w:val="auto"/>
              </w:rPr>
            </w:pPr>
            <w:r>
              <w:rPr>
                <w:rFonts w:ascii="Arial" w:cs="Arial" w:eastAsia="Arial" w:hAnsi="Arial"/>
                <w:sz w:val="16"/>
                <w:szCs w:val="16"/>
                <w:color w:val="auto"/>
              </w:rPr>
              <w:t>The following table summarizes our cash flows for the periods presented:</w:t>
            </w: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508"/>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Cash Flow</w:t>
            </w:r>
          </w:p>
        </w:tc>
        <w:tc>
          <w:tcPr>
            <w:tcW w:w="260" w:type="dxa"/>
            <w:vAlign w:val="bottom"/>
          </w:tcPr>
          <w:p>
            <w:pPr>
              <w:spacing w:after="0"/>
              <w:rPr>
                <w:sz w:val="24"/>
                <w:szCs w:val="24"/>
                <w:color w:val="auto"/>
              </w:rPr>
            </w:pPr>
          </w:p>
        </w:tc>
        <w:tc>
          <w:tcPr>
            <w:tcW w:w="3120" w:type="dxa"/>
            <w:vAlign w:val="bottom"/>
            <w:gridSpan w:val="3"/>
          </w:tcPr>
          <w:p>
            <w:pPr>
              <w:jc w:val="right"/>
              <w:ind w:right="31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786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7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2025</w:t>
            </w:r>
          </w:p>
        </w:tc>
        <w:tc>
          <w:tcPr>
            <w:tcW w:w="400" w:type="dxa"/>
            <w:vAlign w:val="bottom"/>
          </w:tcPr>
          <w:p>
            <w:pPr>
              <w:spacing w:after="0"/>
              <w:rPr>
                <w:sz w:val="19"/>
                <w:szCs w:val="19"/>
                <w:color w:val="auto"/>
              </w:rPr>
            </w:pPr>
          </w:p>
        </w:tc>
        <w:tc>
          <w:tcPr>
            <w:tcW w:w="130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2024</w:t>
            </w:r>
          </w:p>
        </w:tc>
      </w:tr>
      <w:tr>
        <w:trPr>
          <w:trHeight w:val="21"/>
        </w:trPr>
        <w:tc>
          <w:tcPr>
            <w:tcW w:w="786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142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300" w:type="dxa"/>
            <w:vAlign w:val="bottom"/>
            <w:tcBorders>
              <w:bottom w:val="single" w:sz="8" w:color="6022A6"/>
            </w:tcBorders>
          </w:tcPr>
          <w:p>
            <w:pPr>
              <w:spacing w:after="0" w:line="20" w:lineRule="exact"/>
              <w:rPr>
                <w:sz w:val="1"/>
                <w:szCs w:val="1"/>
                <w:color w:val="auto"/>
              </w:rPr>
            </w:pPr>
          </w:p>
        </w:tc>
      </w:tr>
      <w:tr>
        <w:trPr>
          <w:trHeight w:val="230"/>
        </w:trPr>
        <w:tc>
          <w:tcPr>
            <w:tcW w:w="78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Cash from (used for) operating activities – continuing operations</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1,987</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1,955</w:t>
            </w:r>
          </w:p>
        </w:tc>
      </w:tr>
      <w:tr>
        <w:trPr>
          <w:trHeight w:val="227"/>
        </w:trPr>
        <w:tc>
          <w:tcPr>
            <w:tcW w:w="7860" w:type="dxa"/>
            <w:vAlign w:val="bottom"/>
          </w:tcPr>
          <w:p>
            <w:pPr>
              <w:ind w:left="80"/>
              <w:spacing w:after="0"/>
              <w:rPr>
                <w:sz w:val="20"/>
                <w:szCs w:val="20"/>
                <w:color w:val="auto"/>
              </w:rPr>
            </w:pPr>
            <w:r>
              <w:rPr>
                <w:rFonts w:ascii="Arial" w:cs="Arial" w:eastAsia="Arial" w:hAnsi="Arial"/>
                <w:sz w:val="16"/>
                <w:szCs w:val="16"/>
                <w:color w:val="auto"/>
              </w:rPr>
              <w:t>Cash from (used for) investing activities – continuing operations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(1,047)</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(914)</w:t>
            </w:r>
          </w:p>
        </w:tc>
      </w:tr>
      <w:tr>
        <w:trPr>
          <w:trHeight w:val="29"/>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7860" w:type="dxa"/>
            <w:vAlign w:val="bottom"/>
            <w:tcBorders>
              <w:bottom w:val="single" w:sz="8" w:color="E4E4E4"/>
            </w:tcBorders>
            <w:shd w:val="clear" w:color="auto" w:fill="E4E4E4"/>
          </w:tcPr>
          <w:p>
            <w:pPr>
              <w:ind w:left="80"/>
              <w:spacing w:after="0"/>
              <w:rPr>
                <w:sz w:val="20"/>
                <w:szCs w:val="20"/>
                <w:color w:val="auto"/>
              </w:rPr>
            </w:pPr>
            <w:r>
              <w:rPr>
                <w:rFonts w:ascii="Arial" w:cs="Arial" w:eastAsia="Arial" w:hAnsi="Arial"/>
                <w:sz w:val="16"/>
                <w:szCs w:val="16"/>
                <w:color w:val="auto"/>
              </w:rPr>
              <w:t>Cash from (used for) financing activities – continuing operations</w:t>
            </w:r>
          </w:p>
        </w:tc>
        <w:tc>
          <w:tcPr>
            <w:tcW w:w="26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617</w:t>
            </w:r>
          </w:p>
        </w:tc>
        <w:tc>
          <w:tcPr>
            <w:tcW w:w="40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(573)</w:t>
            </w:r>
          </w:p>
        </w:tc>
      </w:tr>
      <w:tr>
        <w:trPr>
          <w:trHeight w:val="228"/>
        </w:trPr>
        <w:tc>
          <w:tcPr>
            <w:tcW w:w="786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1,505</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1,554</w:t>
            </w:r>
          </w:p>
        </w:tc>
      </w:tr>
      <w:tr>
        <w:trPr>
          <w:trHeight w:val="29"/>
        </w:trPr>
        <w:tc>
          <w:tcPr>
            <w:tcW w:w="78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Operating Activities</w:t>
      </w:r>
    </w:p>
    <w:p>
      <w:pPr>
        <w:spacing w:after="0" w:line="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Cash generated from operating activities in the year ended December 31, 2025 was $1,987 million and included Net income of $2,154 million, adjusted for non-cash items including depreciation and amortization expense of $578 million, the gain on remeasurement of the NMP equity method investment of $97 million, and $647 million in net outflows from changes in assets and liabilities. The changes in assets and liabilities are primarily driven by company-funded benefit payments for postretirement benefit plans, an increase in receivables due to higher volume, and an increase in inventories to meet business demand in the current trade environment. This includes an impact of approximately $285 million from incremental tariffs.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Cash generated from operating activities in the year ended December 31, 2024 was $1,955 million and included Net income from continuing operations of</w:t>
      </w:r>
    </w:p>
    <w:p>
      <w:pPr>
        <w:spacing w:after="0" w:line="21"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color w:val="auto"/>
        </w:rPr>
        <w:t>$2,050 million, non-cash charges primarily for depreciation and amortization of $580 million, and $675 million in outflows from incremental changes in assets and liabilities, primarily driven by company-funded benefit payments for postretirement benefit plans, an increase in receivables due to higher volume, and a build in inventories.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Investing Activities</w:t>
      </w:r>
    </w:p>
    <w:p>
      <w:pPr>
        <w:spacing w:after="0" w:line="29"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Cash used for investing activities in the year ended December 31, 2025 was $1,047 million and primarily included Additions to PP&amp;E and internal-use software of $482 million related mostly to investments in facilities, including manufacturing capacity expansion, and new product introductions, purchases of businesses, net of cash acquired, of $378 million largely related to the acquisitions of the remaining 50% interest in NMP and 100% of the stock of icometrix NV (“icometrix”), and a payment of $178 million for settlement of cross-currency swaps that were designated as net investment hedges. Refer to Note 8, “Acquisitions, Goodwill, and Other Intangible Assets” for additional information on the NMP and icometrix acquisitions and Note 13, “Financial Instruments and Fair Value Measurements” for additional information on the settlement of cross-currency swaps.</w:t>
      </w:r>
    </w:p>
    <w:p>
      <w:pPr>
        <w:spacing w:after="0" w:line="20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Cash used for investing activities in the year ended December 31, 2024 was $914 million and primarily included Additions to PP&amp;E and internal-use software of $401 million related mostly to manufacturing capacity expansion and new product introductions, purchases of businesses, net of cash acquired, of $313 million related to the MIM Software Inc. (“MIM Software”) and Intelligent Ultrasound Group PLC acquisitions, and payment of $94 million for settlement of cross-currency swaps that were designated as net investment hedges. Refer to Note 8, “Acquisitions, Goodwill, and Other Intangible Assets” for additional information on the MIM Software acquisition and Note 13, “Financial Instruments and Fair Value Measurements” for additional information on the settlement of cross-currency swaps.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2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Cash generated from financing activities in the year ended December 31, 2025 was $617 million and primarily included $2,730 million of net proceeds from the issuance of $2,750 million aggregate principal amount of senior unsecured notes, partially offset by repayment of $1,500 million of senior unsecured notes due in November 2025 and $250 million of our outstanding Term Loan Facility, and repurchase of common stock for total consideration of $200 million. Refer to Note 9, “Borrowings” and Note 12, “Shareholders' Equity” for further information.</w:t>
      </w:r>
    </w:p>
    <w:p>
      <w:pPr>
        <w:spacing w:after="0" w:line="203" w:lineRule="exact"/>
        <w:rPr>
          <w:sz w:val="20"/>
          <w:szCs w:val="20"/>
          <w:color w:val="auto"/>
        </w:rPr>
      </w:pPr>
    </w:p>
    <w:p>
      <w:pPr>
        <w:jc w:val="both"/>
        <w:ind w:right="420"/>
        <w:spacing w:after="0" w:line="263" w:lineRule="auto"/>
        <w:rPr>
          <w:sz w:val="20"/>
          <w:szCs w:val="20"/>
          <w:color w:val="auto"/>
        </w:rPr>
      </w:pPr>
      <w:r>
        <w:rPr>
          <w:rFonts w:ascii="Arial" w:cs="Arial" w:eastAsia="Arial" w:hAnsi="Arial"/>
          <w:sz w:val="16"/>
          <w:szCs w:val="16"/>
          <w:color w:val="auto"/>
        </w:rPr>
        <w:t>Cash used for financing activities in the year ended December 31, 2024 was $573 million and primarily included repayment of $1,000 million aggregate principal amount of senior unsecured notes, and $400 million in repayments of the outstanding Term Loan Facility, partially offset by $995 million of net proceeds from the issuance of $1,000 million aggregate principal amount of senior unsecured notes due in 2029.</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*Non-GAAP Financial Measure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Material Cash Requirements</w:t>
      </w:r>
    </w:p>
    <w:p>
      <w:pPr>
        <w:spacing w:after="0" w:line="1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In the normal course of business, we enter into contracts and commitments that obligate us to make payments in the future. Information regarding our obligations under lease, debt, and other commitments is provided in Note 7, “Leases,” Note 9, “Borrowings,” and Note 14, “Commitments, Guarantees, Product Warranties, and Other Loss Contingencies.” We have material cash requirements related to our pension obligations as described in Note 10, “Postretirement Benefit Plans.” Additionally, on November 20, 2025, we announced an agreement to acquire Intelerad for a purchase price of $2,300 million to be paid in cash as described in Note 8, “Acquisitions, Goodwill, and Other Intangible Assets.”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231F20"/>
        </w:rPr>
        <w:t>Debt and Credit Facilities</w:t>
      </w:r>
    </w:p>
    <w:p>
      <w:pPr>
        <w:spacing w:after="0" w:line="2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part of our capital structure, we have incurred debt. The servicing of this debt is supported by cash flows from our operations. As of December 31, 2025, we had $10,003 million of total debt compared to $8,951 million as of December 31, 2024. The increase in debt was due primarily to our issuances in the second quarter of 2025 of $650 million aggregate principal amount of senior unsecured notes due in 2031 and $850 million aggregate principal amount of senior unsecured notes due in 2035, and in the fourth quarter of 2025 of $600 million aggregate principal amount of senior unsecured notes due in 2028 and $650 million aggregate principal amount of senior unsecured notes due in 2035. The issuances were partially offset by repayments of $1,500 million aggregate principal amount outstanding of the senior unsecured notes due in November 2025 in the fourth quarter of 2025 and of $250 million of the outstanding Term Loan Facility in the first quarter of 2025.</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In the fourth quarter of 2025, we entered into a Delayed Draw Term Loan Facility in an aggregate committed amount of $750 million as part of the funding for the expected acquisition of Intelerad. In addition to the Term Loan Facility and Delayed Draw Term Loan Facility, our credit facilities include a five-year senior unsecured revolving facility that provides borrowings of up to $3,000 million expiring in March 2030, and a 364-day senior unsecured revolving facility that provides borrowings of up to $500 million expiring in March 2026. As of </w:t>
      </w:r>
      <w:r>
        <w:rPr>
          <w:rFonts w:ascii="Arial" w:cs="Arial" w:eastAsia="Arial" w:hAnsi="Arial"/>
          <w:sz w:val="16"/>
          <w:szCs w:val="16"/>
          <w:color w:val="231F20"/>
        </w:rPr>
        <w:t>December 31, 2025</w:t>
      </w:r>
      <w:r>
        <w:rPr>
          <w:rFonts w:ascii="Arial" w:cs="Arial" w:eastAsia="Arial" w:hAnsi="Arial"/>
          <w:sz w:val="16"/>
          <w:szCs w:val="16"/>
          <w:color w:val="auto"/>
        </w:rPr>
        <w:t>, there were no outstanding borrowings on any of the revolving facilities or the Delayed Draw Term Loan Facility. Additional information on our debt and credit facilities, including definitions of the terms used above, is included in Note 9, “Borrowings.”</w:t>
      </w:r>
    </w:p>
    <w:p>
      <w:pPr>
        <w:spacing w:after="0" w:line="203"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The Credit Facilities include various customary covenants that limit, among other things, the incurrence of liens securing debt, the entry into certain fundamental change transactions by GE HealthCare, and the maximum permitted consolidated net leverage ratio. As of December 31, 2025, we were in compliance with the covenant requirements, including the maximum consolidated net leverage ratio.</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Access to Capital and Credit Ratings</w:t>
      </w:r>
    </w:p>
    <w:p>
      <w:pPr>
        <w:spacing w:after="0" w:line="19" w:lineRule="exact"/>
        <w:rPr>
          <w:sz w:val="20"/>
          <w:szCs w:val="20"/>
          <w:color w:val="auto"/>
        </w:rPr>
      </w:pPr>
    </w:p>
    <w:p>
      <w:pPr>
        <w:ind w:right="460"/>
        <w:spacing w:after="0" w:line="283" w:lineRule="auto"/>
        <w:rPr>
          <w:sz w:val="20"/>
          <w:szCs w:val="20"/>
          <w:color w:val="auto"/>
        </w:rPr>
      </w:pPr>
      <w:r>
        <w:rPr>
          <w:rFonts w:ascii="Arial" w:cs="Arial" w:eastAsia="Arial" w:hAnsi="Arial"/>
          <w:sz w:val="16"/>
          <w:szCs w:val="16"/>
          <w:color w:val="auto"/>
        </w:rPr>
        <w:t>We plan to continue to rely on capital markets, and we expect to have access to credit facilities to fund our operations. The cost and availability of debt financing will be influenced by our credit ratings and market conditions.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For a discussion of recently issued accounting standards, see Note 2, “Summary of Significant Accounting Policies.”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6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Our financial results are affected by the selection and application of accounting policies and methods. We have adopted accounting policies to prepare our financial statements in conformity with U.S. GAAP.</w:t>
      </w:r>
    </w:p>
    <w:p>
      <w:pPr>
        <w:spacing w:after="0" w:line="18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To prepare our financial statements in accordance with U.S. GAAP, management makes estimates and assumptions that may affect the reported amounts of our assets and liabilities, including our contingent liabilities, as of the date of our financial statements, and the reported amounts of our revenues and expenses during the reporting periods. Our actual results may differ from these estimates. We consider estimates to be critical (1) if we are required to make assumptions about material matters that are uncertain at the time of estimation or (2) if materially different estimates could have been made or it is reasonably likely that the accounting estimate will change from period to period. The following are areas considered to be critical and require management’s judgment: Revenue Recognition, Valuation of Assets and Liabilities in Connection with Acquisitions, Pension and Other Postretirement Benefits, and Income Taxes.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See Note 2, “Summary of Significant Accounting Policies” for further information on our 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6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revenues are recorded based on the consideration specified in customer contracts net of any sales incentives, discounts, returns, chargebacks, group purchasing organization fees, rebates, or credits, which are accounted for as estimated variable consideration. Our estimates for these deductions are based upon historical experience and consider current and forecasted market trends. We record the estimated amounts as a reduction to revenue when we recognize the related product or service sale.</w:t>
      </w:r>
    </w:p>
    <w:p>
      <w:pPr>
        <w:spacing w:after="0" w:line="20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Chargebacks are a form of variable consideration that occur when a contracted customer purchases through an intermediary wholesaler. The contracted customer generally purchases product from the wholesaler at its contracted price plus a mark-up. The wholesaler, in turn, charges us back for the difference between the price initially paid by the wholesaler and the contract price paid to the wholesaler by the contracted customer. A provision for outstanding chargebacks is recorded at the time we recognize revenue from the sale to the wholesaler and requires certain estimates such as the wholesaler chargeback rates, the expected sell-through levels by our wholesale customers to contracted customers, as well as estimated wholesaler inventory levels.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amounts of variable consideration included in the net transaction price for revenue recognition are limited to the amounts that are estimated to be probable of occurrence to avoid a material revenue reversal in a future period.</w:t>
      </w:r>
    </w:p>
    <w:p>
      <w:pPr>
        <w:spacing w:after="0" w:line="196"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When a contract with a customer includes multiple performance obligations, the transaction price is allocated to each performance obligation based on relative standalone selling prices. In cases where observable prices for a performance obligation are not available, standalone selling prices are estimated by the Company using our pricing strategies and giving consideration to product configuration, geography, customer type, and other market-specific factors.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Note 3, “Revenue Recognition” for further information on revenue recognition and Note 5, “Receivables” for further information on chargebacks.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VALUATION OF ASSETS AND LIABILITIES IN CONNECTION WITH ACQUISITIONS.</w:t>
      </w:r>
    </w:p>
    <w:p>
      <w:pPr>
        <w:spacing w:after="0" w:line="262"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Our financial statements include the operations of an acquired business starting from the completion of the combination. The assets acquired and liabilities assumed, including any contingent consideration we may be liable to pay in the future, are recorded on the date of the business combination at their respective estimated fair values, with any excess of the purchase price over the estimated fair values of the net assets acquired recorded as goodwill. Our business combinations typically result in the recognition of goodwill, developed technology, and other intangible assets, which affect the amount of future period amortization expense. The fair values of acquired intangible assets and liabilities are determined using information available at the business combination date based on estimates and assumptions that are deemed reasonable. Significant assumptions vary by the class of asset or liability and the valuation technique used. These assumptions can include: the discount rates; timing; probability of achieving regulatory and commercialization milestones; inflation rate; and certain assumptions that form the basis of the forecasted results of the acquired business including revenue, costs to comply with asset retirement obligations, earnings before interest, taxes, depreciation and amortization, growth rates, royalty rates, and technology obsolescence rates. These assumptions are forward-looking and could be affected by future economic and market conditions. We engage third-party valuation specialists who review our critical assumptions and prepare the calculations of the fair value of acquired intangible assets in connection with significant business combinations.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See Note 8, “Acquisitions, Goodwill, and Other Intangible Assets” for further information on our acquisitions.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OTHER POSTRETIREMENT BENEFITS.</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Pension and other postretirement benefits are calculated using significant inputs to the actuarial models that measure pension benefit obligations and related effects on operations. Two assumptions, discount rate and expected return on assets, are important elements of plan expense and related asset and liability measurement. The Company evaluates these critical assumptions at least annually on a plan and country-specific basis. The Company periodically evaluates other assumptions involving demographic factors such as retirement age, mortality, and turnover, and updates them to reflect our experience and expectations for the future. Actual results in any given year often will differ from actuarial assumptions because of economic and other factors.</w:t>
      </w:r>
    </w:p>
    <w:p>
      <w:pPr>
        <w:spacing w:after="0" w:line="199"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Projected benefit obligations (“PBO”) are measured as the present value of expected payments. We discount those cash payments using the weighted average of market-observed yields for high-quality fixed-income securities with maturities that correspond to the expected timing of benefit payments.</w:t>
      </w:r>
    </w:p>
    <w:p>
      <w:pPr>
        <w:spacing w:after="0" w:line="196"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 50 basis point change in the assumed discount rate would have the following effects on the calculation of net periodic benefit costs in 2026 and PBO and accumulated postretirement benefit obligation (“APBO”) as of December 31, 2025: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Discount Rate Sensitivity</w:t>
            </w:r>
          </w:p>
        </w:tc>
        <w:tc>
          <w:tcPr>
            <w:tcW w:w="2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56"/>
        </w:trPr>
        <w:tc>
          <w:tcPr>
            <w:tcW w:w="3940" w:type="dxa"/>
            <w:vAlign w:val="bottom"/>
          </w:tcPr>
          <w:p>
            <w:pPr>
              <w:spacing w:after="0"/>
              <w:rPr>
                <w:sz w:val="22"/>
                <w:szCs w:val="22"/>
                <w:color w:val="auto"/>
              </w:rPr>
            </w:pPr>
          </w:p>
        </w:tc>
        <w:tc>
          <w:tcPr>
            <w:tcW w:w="2200" w:type="dxa"/>
            <w:vAlign w:val="bottom"/>
          </w:tcPr>
          <w:p>
            <w:pPr>
              <w:jc w:val="right"/>
              <w:ind w:right="119"/>
              <w:spacing w:after="0"/>
              <w:rPr>
                <w:sz w:val="20"/>
                <w:szCs w:val="20"/>
                <w:color w:val="auto"/>
              </w:rPr>
            </w:pPr>
            <w:r>
              <w:rPr>
                <w:rFonts w:ascii="Arial" w:cs="Arial" w:eastAsia="Arial" w:hAnsi="Arial"/>
                <w:sz w:val="16"/>
                <w:szCs w:val="16"/>
                <w:b w:val="1"/>
                <w:bCs w:val="1"/>
                <w:color w:val="454545"/>
              </w:rPr>
              <w:t>U.S. Plans</w:t>
            </w: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b w:val="1"/>
                <w:bCs w:val="1"/>
                <w:color w:val="454545"/>
              </w:rPr>
              <w:t>International Plans</w:t>
            </w:r>
          </w:p>
        </w:tc>
        <w:tc>
          <w:tcPr>
            <w:tcW w:w="2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Other Postretirement Plans</w:t>
            </w:r>
          </w:p>
        </w:tc>
      </w:tr>
      <w:tr>
        <w:trPr>
          <w:trHeight w:val="21"/>
        </w:trPr>
        <w:tc>
          <w:tcPr>
            <w:tcW w:w="3940" w:type="dxa"/>
            <w:vAlign w:val="bottom"/>
            <w:tcBorders>
              <w:bottom w:val="single" w:sz="8" w:color="6022A6"/>
            </w:tcBorders>
          </w:tcPr>
          <w:p>
            <w:pPr>
              <w:spacing w:after="0" w:line="20" w:lineRule="exact"/>
              <w:rPr>
                <w:sz w:val="1"/>
                <w:szCs w:val="1"/>
                <w:color w:val="auto"/>
              </w:rPr>
            </w:pPr>
          </w:p>
        </w:tc>
        <w:tc>
          <w:tcPr>
            <w:tcW w:w="220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200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r>
      <w:tr>
        <w:trPr>
          <w:trHeight w:val="230"/>
        </w:trPr>
        <w:tc>
          <w:tcPr>
            <w:tcW w:w="3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50 bps increase in discount rate</w:t>
            </w:r>
          </w:p>
        </w:tc>
        <w:tc>
          <w:tcPr>
            <w:tcW w:w="220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20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r>
      <w:tr>
        <w:trPr>
          <w:trHeight w:val="228"/>
        </w:trPr>
        <w:tc>
          <w:tcPr>
            <w:tcW w:w="3940" w:type="dxa"/>
            <w:vAlign w:val="bottom"/>
          </w:tcPr>
          <w:p>
            <w:pPr>
              <w:ind w:left="20"/>
              <w:spacing w:after="0"/>
              <w:rPr>
                <w:sz w:val="20"/>
                <w:szCs w:val="20"/>
                <w:color w:val="auto"/>
              </w:rPr>
            </w:pPr>
            <w:r>
              <w:rPr>
                <w:rFonts w:ascii="Arial" w:cs="Arial" w:eastAsia="Arial" w:hAnsi="Arial"/>
                <w:sz w:val="16"/>
                <w:szCs w:val="16"/>
                <w:color w:val="auto"/>
              </w:rPr>
              <w:t>Impact on PBO/APBO as of December 31, 2025</w:t>
            </w:r>
          </w:p>
        </w:tc>
        <w:tc>
          <w:tcPr>
            <w:tcW w:w="2200" w:type="dxa"/>
            <w:vAlign w:val="bottom"/>
          </w:tcPr>
          <w:p>
            <w:pPr>
              <w:jc w:val="right"/>
              <w:ind w:right="1579"/>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(827)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(192)</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9"/>
        </w:trPr>
        <w:tc>
          <w:tcPr>
            <w:tcW w:w="3940" w:type="dxa"/>
            <w:vAlign w:val="bottom"/>
          </w:tcPr>
          <w:p>
            <w:pPr>
              <w:spacing w:after="0"/>
              <w:rPr>
                <w:sz w:val="2"/>
                <w:szCs w:val="2"/>
                <w:color w:val="auto"/>
              </w:rPr>
            </w:pPr>
          </w:p>
        </w:tc>
        <w:tc>
          <w:tcPr>
            <w:tcW w:w="2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37"/>
        </w:trPr>
        <w:tc>
          <w:tcPr>
            <w:tcW w:w="3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Impact on service cost and interest cost in 2026</w:t>
            </w:r>
          </w:p>
        </w:tc>
        <w:tc>
          <w:tcPr>
            <w:tcW w:w="220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w:t>
            </w:r>
          </w:p>
        </w:tc>
        <w:tc>
          <w:tcPr>
            <w:tcW w:w="260" w:type="dxa"/>
            <w:vAlign w:val="bottom"/>
            <w:tcBorders>
              <w:bottom w:val="single" w:sz="8" w:color="E4E4E4"/>
            </w:tcBorders>
            <w:shd w:val="clear" w:color="auto" w:fill="E4E4E4"/>
          </w:tcPr>
          <w:p>
            <w:pPr>
              <w:spacing w:after="0"/>
              <w:rPr>
                <w:sz w:val="20"/>
                <w:szCs w:val="20"/>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02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r>
      <w:tr>
        <w:trPr>
          <w:trHeight w:val="235"/>
        </w:trPr>
        <w:tc>
          <w:tcPr>
            <w:tcW w:w="394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50 bps decrease in discount rate</w:t>
            </w:r>
          </w:p>
        </w:tc>
        <w:tc>
          <w:tcPr>
            <w:tcW w:w="2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1"/>
        </w:trPr>
        <w:tc>
          <w:tcPr>
            <w:tcW w:w="39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7"/>
        </w:trPr>
        <w:tc>
          <w:tcPr>
            <w:tcW w:w="39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Impact on PBO/APBO as of December 31, 2025</w:t>
            </w:r>
          </w:p>
        </w:tc>
        <w:tc>
          <w:tcPr>
            <w:tcW w:w="2200" w:type="dxa"/>
            <w:vAlign w:val="bottom"/>
            <w:tcBorders>
              <w:bottom w:val="single" w:sz="8" w:color="E4E4E4"/>
            </w:tcBorders>
            <w:shd w:val="clear" w:color="auto" w:fill="E4E4E4"/>
          </w:tcPr>
          <w:p>
            <w:pPr>
              <w:jc w:val="right"/>
              <w:ind w:right="15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902</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214</w:t>
            </w:r>
          </w:p>
        </w:tc>
        <w:tc>
          <w:tcPr>
            <w:tcW w:w="102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r>
      <w:tr>
        <w:trPr>
          <w:trHeight w:val="228"/>
        </w:trPr>
        <w:tc>
          <w:tcPr>
            <w:tcW w:w="3940" w:type="dxa"/>
            <w:vAlign w:val="bottom"/>
          </w:tcPr>
          <w:p>
            <w:pPr>
              <w:ind w:left="20"/>
              <w:spacing w:after="0"/>
              <w:rPr>
                <w:sz w:val="20"/>
                <w:szCs w:val="20"/>
                <w:color w:val="auto"/>
              </w:rPr>
            </w:pPr>
            <w:r>
              <w:rPr>
                <w:rFonts w:ascii="Arial" w:cs="Arial" w:eastAsia="Arial" w:hAnsi="Arial"/>
                <w:sz w:val="16"/>
                <w:szCs w:val="16"/>
                <w:color w:val="auto"/>
              </w:rPr>
              <w:t>Impact on service cost and interest cost in 2026</w:t>
            </w:r>
          </w:p>
        </w:tc>
        <w:tc>
          <w:tcPr>
            <w:tcW w:w="2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(4)</w:t>
            </w:r>
          </w:p>
        </w:tc>
        <w:tc>
          <w:tcPr>
            <w:tcW w:w="10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39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sensitivity of the net deficit to the discount rate would be lower than the projected benefit obligation sensitivity as a result of the liability hedging program incorporated in the plan’s asset allocation.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To determine the expected long-term rate of return on pension plan assets, we consider current and target asset allocations, as well as historical and expected returns on various categories of plan assets. In developing future long-term return expectations for our principal benefit plans’ assets, we formulate views on the future economic environment, both in the U.S. and abroad. We evaluate general market trends and historical relationships among a number of key variables that impact asset class returns such as expected earnings growth, inflation, valuations, yields, and spreads, using both internal and external sources. We also consider expected volatility by asset class and diversification across classes to determine expected overall portfolio results given current and target allocations. A 1% change in the assumed expected long-term rate of return on plan assets would increase or decrease the 2026 net periodic benefit costs of these plans by $188 million.</w:t>
      </w:r>
    </w:p>
    <w:p>
      <w:pPr>
        <w:spacing w:after="0" w:line="163"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Our pension plan assets contain financial instruments that are measured at fair value. While the majority of these assets are valued based on quoted prices for identical or similar instruments in active markets, the fair value of certain assets is estimated using significant unobservable inputs (Level 3). These assets primarily relate to an annuity contract, real estate, and private equity investments.</w:t>
      </w:r>
    </w:p>
    <w:p>
      <w:pPr>
        <w:spacing w:after="0" w:line="191" w:lineRule="exact"/>
        <w:rPr>
          <w:sz w:val="20"/>
          <w:szCs w:val="20"/>
          <w:color w:val="auto"/>
        </w:rPr>
      </w:pPr>
    </w:p>
    <w:p>
      <w:pPr>
        <w:ind w:right="200"/>
        <w:spacing w:after="0" w:line="270" w:lineRule="auto"/>
        <w:rPr>
          <w:sz w:val="20"/>
          <w:szCs w:val="20"/>
          <w:color w:val="auto"/>
        </w:rPr>
      </w:pPr>
      <w:r>
        <w:rPr>
          <w:rFonts w:ascii="Arial" w:cs="Arial" w:eastAsia="Arial" w:hAnsi="Arial"/>
          <w:sz w:val="16"/>
          <w:szCs w:val="16"/>
          <w:color w:val="auto"/>
        </w:rPr>
        <w:t>We disclose in the following table postretirement plans with assets or obligations that exceed $50 million as of December 31, 2025. Refer to Note 10, “Postretirement Benefit Plans” for further details related to these plans. The value of the assets and liabilities as of December 31, 2025, are summarized in the table below.</w:t>
      </w:r>
    </w:p>
    <w:tbl>
      <w:tblPr>
        <w:tblLayout w:type="fixed"/>
        <w:tblInd w:w="0" w:type="dxa"/>
        <w:tblCellMar>
          <w:top w:w="0" w:type="dxa"/>
          <w:left w:w="0" w:type="dxa"/>
          <w:bottom w:w="0" w:type="dxa"/>
          <w:right w:w="0" w:type="dxa"/>
        </w:tblCellMar>
      </w:tblPr>
      <w:tr>
        <w:trPr>
          <w:trHeight w:val="163"/>
        </w:trPr>
        <w:tc>
          <w:tcPr>
            <w:tcW w:w="4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gridSpan w:val="2"/>
          </w:tcPr>
          <w:p>
            <w:pPr>
              <w:jc w:val="right"/>
              <w:ind w:right="279"/>
              <w:spacing w:after="0" w:line="163" w:lineRule="exact"/>
              <w:rPr>
                <w:sz w:val="20"/>
                <w:szCs w:val="20"/>
                <w:color w:val="auto"/>
              </w:rPr>
            </w:pPr>
            <w:r>
              <w:rPr>
                <w:rFonts w:ascii="Arial" w:cs="Arial" w:eastAsia="Arial" w:hAnsi="Arial"/>
                <w:sz w:val="16"/>
                <w:szCs w:val="16"/>
                <w:b w:val="1"/>
                <w:bCs w:val="1"/>
                <w:color w:val="454545"/>
              </w:rPr>
              <w:t>Projected benefit</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60" w:type="dxa"/>
            <w:vAlign w:val="bottom"/>
            <w:gridSpan w:val="2"/>
          </w:tcPr>
          <w:p>
            <w:pPr>
              <w:jc w:val="right"/>
              <w:ind w:right="39"/>
              <w:spacing w:after="0" w:line="163" w:lineRule="exact"/>
              <w:rPr>
                <w:sz w:val="20"/>
                <w:szCs w:val="20"/>
                <w:color w:val="auto"/>
              </w:rPr>
            </w:pPr>
            <w:r>
              <w:rPr>
                <w:rFonts w:ascii="Arial" w:cs="Arial" w:eastAsia="Arial" w:hAnsi="Arial"/>
                <w:sz w:val="16"/>
                <w:szCs w:val="16"/>
                <w:b w:val="1"/>
                <w:bCs w:val="1"/>
                <w:color w:val="454545"/>
              </w:rPr>
              <w:t>Funded status - surplus</w:t>
            </w:r>
          </w:p>
        </w:tc>
      </w:tr>
      <w:tr>
        <w:trPr>
          <w:trHeight w:val="216"/>
        </w:trPr>
        <w:tc>
          <w:tcPr>
            <w:tcW w:w="4860" w:type="dxa"/>
            <w:vAlign w:val="bottom"/>
            <w:tcBorders>
              <w:bottom w:val="single" w:sz="8" w:color="6400A0"/>
            </w:tcBorders>
          </w:tcPr>
          <w:p>
            <w:pPr>
              <w:spacing w:after="0"/>
              <w:rPr>
                <w:sz w:val="18"/>
                <w:szCs w:val="18"/>
                <w:color w:val="auto"/>
              </w:rPr>
            </w:pPr>
          </w:p>
        </w:tc>
        <w:tc>
          <w:tcPr>
            <w:tcW w:w="860" w:type="dxa"/>
            <w:vAlign w:val="bottom"/>
            <w:tcBorders>
              <w:bottom w:val="single" w:sz="8" w:color="6400A0"/>
            </w:tcBorders>
          </w:tcPr>
          <w:p>
            <w:pPr>
              <w:spacing w:after="0"/>
              <w:rPr>
                <w:sz w:val="18"/>
                <w:szCs w:val="18"/>
                <w:color w:val="auto"/>
              </w:rPr>
            </w:pPr>
          </w:p>
        </w:tc>
        <w:tc>
          <w:tcPr>
            <w:tcW w:w="1240" w:type="dxa"/>
            <w:vAlign w:val="bottom"/>
            <w:tcBorders>
              <w:bottom w:val="single" w:sz="8" w:color="6400A0"/>
            </w:tcBorders>
          </w:tcPr>
          <w:p>
            <w:pPr>
              <w:ind w:left="360"/>
              <w:spacing w:after="0"/>
              <w:rPr>
                <w:sz w:val="20"/>
                <w:szCs w:val="20"/>
                <w:color w:val="auto"/>
              </w:rPr>
            </w:pPr>
            <w:r>
              <w:rPr>
                <w:rFonts w:ascii="Arial" w:cs="Arial" w:eastAsia="Arial" w:hAnsi="Arial"/>
                <w:sz w:val="16"/>
                <w:szCs w:val="16"/>
                <w:b w:val="1"/>
                <w:bCs w:val="1"/>
                <w:color w:val="454545"/>
              </w:rPr>
              <w:t>obligations</w:t>
            </w:r>
          </w:p>
        </w:tc>
        <w:tc>
          <w:tcPr>
            <w:tcW w:w="2320" w:type="dxa"/>
            <w:vAlign w:val="bottom"/>
            <w:tcBorders>
              <w:bottom w:val="single" w:sz="8" w:color="6400A0"/>
            </w:tcBorders>
            <w:gridSpan w:val="3"/>
          </w:tcPr>
          <w:p>
            <w:pPr>
              <w:jc w:val="right"/>
              <w:spacing w:after="0"/>
              <w:rPr>
                <w:sz w:val="20"/>
                <w:szCs w:val="20"/>
                <w:color w:val="auto"/>
              </w:rPr>
            </w:pPr>
            <w:r>
              <w:rPr>
                <w:rFonts w:ascii="Arial" w:cs="Arial" w:eastAsia="Arial" w:hAnsi="Arial"/>
                <w:sz w:val="16"/>
                <w:szCs w:val="16"/>
                <w:b w:val="1"/>
                <w:bCs w:val="1"/>
                <w:color w:val="454545"/>
              </w:rPr>
              <w:t>Fair value of plan assets</w:t>
            </w:r>
          </w:p>
        </w:tc>
        <w:tc>
          <w:tcPr>
            <w:tcW w:w="460" w:type="dxa"/>
            <w:vAlign w:val="bottom"/>
            <w:tcBorders>
              <w:bottom w:val="single" w:sz="8" w:color="6400A0"/>
            </w:tcBorders>
          </w:tcPr>
          <w:p>
            <w:pPr>
              <w:spacing w:after="0"/>
              <w:rPr>
                <w:sz w:val="18"/>
                <w:szCs w:val="18"/>
                <w:color w:val="auto"/>
              </w:rPr>
            </w:pPr>
          </w:p>
        </w:tc>
        <w:tc>
          <w:tcPr>
            <w:tcW w:w="1500" w:type="dxa"/>
            <w:vAlign w:val="bottom"/>
            <w:tcBorders>
              <w:bottom w:val="single" w:sz="8" w:color="6400A0"/>
            </w:tcBorders>
          </w:tcPr>
          <w:p>
            <w:pPr>
              <w:jc w:val="right"/>
              <w:ind w:right="579"/>
              <w:spacing w:after="0"/>
              <w:rPr>
                <w:sz w:val="20"/>
                <w:szCs w:val="20"/>
                <w:color w:val="auto"/>
              </w:rPr>
            </w:pPr>
            <w:r>
              <w:rPr>
                <w:rFonts w:ascii="Arial" w:cs="Arial" w:eastAsia="Arial" w:hAnsi="Arial"/>
                <w:sz w:val="16"/>
                <w:szCs w:val="16"/>
                <w:b w:val="1"/>
                <w:bCs w:val="1"/>
                <w:color w:val="454545"/>
              </w:rPr>
              <w:t>(deficit)</w:t>
            </w:r>
          </w:p>
        </w:tc>
      </w:tr>
      <w:tr>
        <w:trPr>
          <w:trHeight w:val="230"/>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GE HealthCare Pension Plan</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15,519</w:t>
            </w:r>
          </w:p>
        </w:tc>
        <w:tc>
          <w:tcPr>
            <w:tcW w:w="740" w:type="dxa"/>
            <w:vAlign w:val="bottom"/>
            <w:tcBorders>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13,988</w:t>
            </w:r>
          </w:p>
        </w:tc>
        <w:tc>
          <w:tcPr>
            <w:tcW w:w="46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(1,531)</w:t>
            </w:r>
          </w:p>
        </w:tc>
      </w:tr>
      <w:tr>
        <w:trPr>
          <w:trHeight w:val="228"/>
        </w:trPr>
        <w:tc>
          <w:tcPr>
            <w:tcW w:w="4860" w:type="dxa"/>
            <w:vAlign w:val="bottom"/>
          </w:tcPr>
          <w:p>
            <w:pPr>
              <w:ind w:left="20"/>
              <w:spacing w:after="0"/>
              <w:rPr>
                <w:sz w:val="20"/>
                <w:szCs w:val="20"/>
                <w:color w:val="auto"/>
              </w:rPr>
            </w:pPr>
            <w:r>
              <w:rPr>
                <w:rFonts w:ascii="Arial" w:cs="Arial" w:eastAsia="Arial" w:hAnsi="Arial"/>
                <w:sz w:val="16"/>
                <w:szCs w:val="16"/>
                <w:color w:val="auto"/>
              </w:rPr>
              <w:t>GE HealthCare Supplementary Pension Plan</w:t>
            </w:r>
          </w:p>
        </w:tc>
        <w:tc>
          <w:tcPr>
            <w:tcW w:w="8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1,672</w:t>
            </w:r>
          </w:p>
        </w:tc>
        <w:tc>
          <w:tcPr>
            <w:tcW w:w="7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(1,672)</w:t>
            </w:r>
          </w:p>
        </w:tc>
      </w:tr>
      <w:tr>
        <w:trPr>
          <w:trHeight w:val="29"/>
        </w:trPr>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62"/>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U.S. Pension Plans</w:t>
            </w:r>
          </w:p>
        </w:tc>
        <w:tc>
          <w:tcPr>
            <w:tcW w:w="86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spacing w:after="0"/>
              <w:rPr>
                <w:sz w:val="22"/>
                <w:szCs w:val="22"/>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1,378</w:t>
            </w:r>
          </w:p>
        </w:tc>
        <w:tc>
          <w:tcPr>
            <w:tcW w:w="740" w:type="dxa"/>
            <w:vAlign w:val="bottom"/>
            <w:tcBorders>
              <w:bottom w:val="single" w:sz="8" w:color="E4E4E4"/>
            </w:tcBorders>
            <w:shd w:val="clear" w:color="auto" w:fill="E4E4E4"/>
          </w:tcPr>
          <w:p>
            <w:pPr>
              <w:spacing w:after="0"/>
              <w:rPr>
                <w:sz w:val="22"/>
                <w:szCs w:val="22"/>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743</w:t>
            </w:r>
          </w:p>
        </w:tc>
        <w:tc>
          <w:tcPr>
            <w:tcW w:w="460" w:type="dxa"/>
            <w:vAlign w:val="bottom"/>
            <w:tcBorders>
              <w:bottom w:val="single" w:sz="8" w:color="E4E4E4"/>
            </w:tcBorders>
            <w:shd w:val="clear" w:color="auto" w:fill="E4E4E4"/>
          </w:tcPr>
          <w:p>
            <w:pPr>
              <w:spacing w:after="0"/>
              <w:rPr>
                <w:sz w:val="22"/>
                <w:szCs w:val="22"/>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(635)</w:t>
            </w:r>
          </w:p>
        </w:tc>
      </w:tr>
      <w:tr>
        <w:trPr>
          <w:trHeight w:val="221"/>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Total U.S. Plans</w:t>
            </w:r>
          </w:p>
        </w:tc>
        <w:tc>
          <w:tcPr>
            <w:tcW w:w="86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18,569</w:t>
            </w:r>
          </w:p>
        </w:tc>
        <w:tc>
          <w:tcPr>
            <w:tcW w:w="7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14,731</w:t>
            </w: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(3,838)</w:t>
            </w:r>
          </w:p>
        </w:tc>
      </w:tr>
      <w:tr>
        <w:trPr>
          <w:trHeight w:val="29"/>
        </w:trPr>
        <w:tc>
          <w:tcPr>
            <w:tcW w:w="4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37"/>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International Plans</w:t>
            </w:r>
          </w:p>
        </w:tc>
        <w:tc>
          <w:tcPr>
            <w:tcW w:w="86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3,148</w:t>
            </w:r>
          </w:p>
        </w:tc>
        <w:tc>
          <w:tcPr>
            <w:tcW w:w="740" w:type="dxa"/>
            <w:vAlign w:val="bottom"/>
            <w:tcBorders>
              <w:bottom w:val="single" w:sz="8" w:color="E4E4E4"/>
            </w:tcBorders>
            <w:shd w:val="clear" w:color="auto" w:fill="E4E4E4"/>
          </w:tcPr>
          <w:p>
            <w:pPr>
              <w:spacing w:after="0"/>
              <w:rPr>
                <w:sz w:val="20"/>
                <w:szCs w:val="20"/>
                <w:color w:val="auto"/>
              </w:rPr>
            </w:pP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3,528</w:t>
            </w:r>
          </w:p>
        </w:tc>
        <w:tc>
          <w:tcPr>
            <w:tcW w:w="460" w:type="dxa"/>
            <w:vAlign w:val="bottom"/>
            <w:tcBorders>
              <w:bottom w:val="single" w:sz="8" w:color="E4E4E4"/>
            </w:tcBorders>
            <w:shd w:val="clear" w:color="auto" w:fill="E4E4E4"/>
          </w:tcPr>
          <w:p>
            <w:pPr>
              <w:spacing w:after="0"/>
              <w:rPr>
                <w:sz w:val="20"/>
                <w:szCs w:val="20"/>
                <w:color w:val="auto"/>
              </w:rPr>
            </w:pP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380</w:t>
            </w:r>
          </w:p>
        </w:tc>
      </w:tr>
      <w:tr>
        <w:trPr>
          <w:trHeight w:val="256"/>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OPEB Plans</w:t>
            </w:r>
            <w:r>
              <w:rPr>
                <w:rFonts w:ascii="Arial" w:cs="Arial" w:eastAsia="Arial" w:hAnsi="Arial"/>
                <w:sz w:val="21"/>
                <w:szCs w:val="21"/>
                <w:color w:val="auto"/>
                <w:vertAlign w:val="superscript"/>
              </w:rPr>
              <w:t>(1)</w:t>
            </w:r>
          </w:p>
        </w:tc>
        <w:tc>
          <w:tcPr>
            <w:tcW w:w="8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c>
          <w:tcPr>
            <w:tcW w:w="7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(908)</w:t>
            </w:r>
          </w:p>
        </w:tc>
      </w:tr>
      <w:tr>
        <w:trPr>
          <w:trHeight w:val="255"/>
        </w:trPr>
        <w:tc>
          <w:tcPr>
            <w:tcW w:w="48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22,625</w:t>
            </w:r>
          </w:p>
        </w:tc>
        <w:tc>
          <w:tcPr>
            <w:tcW w:w="740" w:type="dxa"/>
            <w:vAlign w:val="bottom"/>
            <w:tcBorders>
              <w:bottom w:val="single" w:sz="8" w:color="E4E4E4"/>
            </w:tcBorders>
            <w:shd w:val="clear" w:color="auto" w:fill="E4E4E4"/>
          </w:tcPr>
          <w:p>
            <w:pPr>
              <w:jc w:val="right"/>
              <w:ind w:right="539"/>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18,259</w:t>
            </w:r>
          </w:p>
        </w:tc>
        <w:tc>
          <w:tcPr>
            <w:tcW w:w="46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(4,365)</w:t>
            </w:r>
          </w:p>
        </w:tc>
      </w:tr>
      <w:tr>
        <w:trPr>
          <w:trHeight w:val="221"/>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(1) As defined in Note 10, “Postretirement Benefit Plans.”</w:t>
            </w:r>
          </w:p>
        </w:tc>
        <w:tc>
          <w:tcPr>
            <w:tcW w:w="8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62"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annual tax expense is based on our income, applicable statutory tax rates, and tax incentives available to us in the various jurisdictions in which we operate. Changes in existing tax laws or rates could significantly impact the estimate of our tax liabilities. Deferred tax assets represent amounts available to reduce income taxes payable on taxable income in future years. Such assets arise because of temporary differences between the financial reporting and tax basis of assets and liabilities, as well as from net operating loss and tax credit carryforwards. We evaluate the recoverability of these future tax deductions and credits by assessing the adequacy of future expected taxable income from all sources, including reversal of taxable temporary differences, forecasted operating earnings, taxable income in prior carryback years to the extent applicable, and available tax planning strategies. These sources of income rely heavily on estimates; we use our historical experience as well as our short- and long-range business forecasts to provide insight.</w:t>
      </w:r>
    </w:p>
    <w:p>
      <w:pPr>
        <w:spacing w:after="0" w:line="21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Significant judgment is required in determining our tax expense and in evaluating our tax positions, including evaluating uncertainties. We recognize tax benefits from uncertain tax positions only if we believe that it is more likely than not that the tax position will be sustained on examination by the relevant taxing authorities based on the technical merits of the position. Our policy is to adjust these reserves when facts and circumstances change, such as the change in the technical merit of a position, or an uncertain tax position is effectively settled with the relevant taxing authority, or the statute of limitations has expired. We have provided for the amounts we believe will ultimately result from these changes; however, due to the complexity of some of these uncertainties, the ultimate resolution may result in a payment that is materially different from our current estimate of the tax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See Note 11, “Income Taxes” for further information on income taxes.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0"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We are exposed to market risk primarily from changes in foreign currency exchange rates, interest rates, commodity prices, and equity prices, which may impact future income, cash flows, and fair value of our business. In certain situations, we may seek to reduce cash flow volatility associated with changes in foreign currency exchange rates, the foreign currency risk associated with our net investment in foreign operations, or the fair value interest rate risk of our financial instruments bearing fixed interest by entering into financial arrangements intended to provide a hedge against a portion of such risks. We continue to have exposure to such risks to the extent they are not hedged. We enter into derivative contracts to the extent they meet the objectives described above, and not for speculative purposes. See Note 13, “Financial Instruments and Fair Value Measurements” for further information about our risk exposures, our use of derivatives, and the effects of this activity on our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RISK.</w:t>
      </w:r>
    </w:p>
    <w:p>
      <w:pPr>
        <w:spacing w:after="0" w:line="24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As a result of our global operations, we generate and incur a significant portion of our revenues and expenses, including those arising from intercompany transactions, in currencies other than the functional currency of our foreign operations creating exposure to foreign currency translation risk. Such principal currencies include the Euro, the Chinese Renminbi, the Japanese Yen, the Norwegian Krone, and the British Pound Sterling, among others. Operating entities with functional currencies other than the USD also create exposure to foreign currency risk realized upon their sale or a complete or substantially complete liquidation.</w:t>
      </w:r>
    </w:p>
    <w:p>
      <w:pPr>
        <w:spacing w:after="0" w:line="199"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use a number of techniques to manage the effects of foreign currency exchange risk, including hedging of significant currency exposures. We use cash flow hedging primarily to reduce or eliminate the effects of foreign currency exchange rate changes on purchase and sale contracts and economic hedges when we have exposures to foreign currency exchange risk for which we are unable to meet the requirements for hedge accounting. We use net investment hedging to hedge the foreign currency risk of our net investment in foreign operations against adverse movements in exchange rates against the USD. As a result of the above mitigating activities, we have been able to significantly reduce the financial impact of volatility from currency fluctuations.</w:t>
      </w:r>
    </w:p>
    <w:p>
      <w:pPr>
        <w:spacing w:after="0" w:line="199"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potential increase in fair value of our foreign currency derivative contracts from a 10% decrease in USD spot rates against other applicable currencies would have been $111 million as of December 31, 2025. This excludes foreign currency derivative contracts designated as net investment hedges as changes in the fair value of those contracts are not expected to impact earnings. The sensitivity analysis assumes a uniform weakening of USD spot rates against the other applicable currencies, compared to the actual exchange rates applied as of December 31, 2025, with all other factors remaining constant. This sensitivity analysis disregards the offsetting change in value of the underlying hedged currency exposures in earnings.</w:t>
      </w:r>
    </w:p>
    <w:p>
      <w:pPr>
        <w:spacing w:after="0" w:line="199"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The effect arising from foreign currency transactions, including the remeasurement of derivatives mentioned above, can result in significant fluctuations at points in time, but generally will be offset as the underlying hedged item is recognized in earnings. The global nature of our customer base and manufacturing footprint allows for the natural offset of certain income and costs denominated in foreign currencies. See Note 2, “Summary of Significant Accounting Policies” for net gains (losses) from foreign currency transactions for the years ended December 31, 2025, 2024, and 2023.</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48"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We are exposed to interest rate risk due to changes in benchmark interest rates related to the fair value of our borrowings bearing fixed interest rates and variability of cash flows related to our investments and borrowings bearing variable interest rates.</w:t>
      </w:r>
    </w:p>
    <w:p>
      <w:pPr>
        <w:spacing w:after="0" w:line="168"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As of December 31, 2025, we have $9,500 million outstanding principal of fixed-rate senior unsecured notes and $500 million outstanding principal on the Term Loan Facility which carries a variable interest rate. As of December 31, 2025, we have $4,512 million of Cash, cash equivalents, and restricted cash, of which $3,445 million is invested in short-term investments that generate income based on variable interest rates.</w:t>
      </w:r>
    </w:p>
    <w:p>
      <w:pPr>
        <w:spacing w:after="0" w:line="191"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A change in interest rates would impact the fair value of our fixed-rate debt and would impact our earnings and cash flows associated with our floating-rate debt. A hypothetical change of interest rates by 100 basis points would increase or decrease our annual interest expense by approximately $32 million, partially offset by the change in interest income from our cash investments.</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We primarily manage interest rate risk by using a mix of fixed-rate and variable-rate debt that we deem appropriate. As of December 31, 2025, we executed an aggregate notional amount of interest rate swap contracts to synthetically convert $2,700 million of our senior unsecured notes from fixed rates to variable rates as part of our interest rate risk management strategy.</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RISK.</w:t>
      </w:r>
    </w:p>
    <w:p>
      <w:pPr>
        <w:spacing w:after="0" w:line="248"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We rely upon supplies of certain raw materials including helium, iodine, and rare earth minerals. Worldwide demand, availability, and pricing of these raw materials have been volatile, and we expect that availability and pricing will continue to fluctuate in the future. If supply of these materials is restricted or if prices increase, this could constrain our manufacturing of affected products, reduce our profit margins, or otherwise adversely affect our business, our customers, and patients who may rely on our products.</w:t>
      </w:r>
    </w:p>
    <w:p>
      <w:pPr>
        <w:spacing w:after="0" w:line="21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Similarly, commodities and energy prices are subject to significant volatility. If the costs of certain commodities or of energy, shipping, or transportation increase and we are unable to pass along these costs to our customers, our financial results would be adversely affected. Furthermore, increasing our prices to our customers could result in long-term sales declines or loss of market share if our customers find alternative suppliers, which could also have a material adverse effect on our financial results.</w:t>
      </w:r>
    </w:p>
    <w:p>
      <w:pPr>
        <w:spacing w:after="0" w:line="200"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Disruptions in deliveries, capacity constraints, production disruptions up- or down-stream, price increases, or decreased availability of raw materials or commodities (including as a result of war, natural disasters, climate change-related physical and transitional risks, actual or threatened public health emergencies, or other business continuity events) adversely affect our operations and, depending on the length and severity of the disruption, can limit our ability to meet our commitments to customers or significantly impact our operating profit or cash flows.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RISK.</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of December 31, 2025, we have $248 million of deferred compensation liabilities subject to the risk of changes in equity prices. A change in the U.S equity markets would result in a corresponding change in the value of these deferred compensation liabilities, which would impact our earnings and cash flows. We may from time to time engage in hedging transactions to reduce the impact to earnings from equity price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30" w:right="659" w:bottom="1440" w:gutter="0" w:footer="0" w:header="0"/>
        </w:sectPr>
      </w:pPr>
    </w:p>
    <w:bookmarkStart w:id="52" w:name="page53"/>
    <w:bookmarkEnd w:id="5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GE HealthCare Technologies Inc.</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24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audited the accompanying consolidated statements of financial position of GE HealthCare Technologies Inc. (the "Company") as of December 31, 2025 and 2024, the related consolidated statements of income, comprehensive income (loss), changes in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4, 2026, expressed an unqualified opinion on the Company's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spacing w:after="0" w:line="210"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26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 – Allocation of the Transaction Price to Each Performance Obligation – Refer to Notes 2 and 3 to the financial statements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Contracts for the sale of products and services often include multiple distinct performance obligations, usually involving an upfront deliverable of equipment and future performance obligations such as installation, training, or the future delivery of products or services. If a contract contains more than one performance obligation, the transaction price is allocated to each performance obligation based on relative stand-alone selling price. Stand-alone selling price is obtained from sources such as the separate selling price for that or a similar item, if reasonably available. If such evidence is not reasonably available, the Company uses its best estimate of selling price, which is established consistent with the pricing strategy of the Company and considers product configuration, geography, customer type, and other market-specific factors.</w:t>
      </w:r>
    </w:p>
    <w:p>
      <w:pPr>
        <w:spacing w:after="0" w:line="21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Company’s allocation of the transaction price to each performance obligation involves judgments and estimates, including its best estimate of stand-alone selling price for performance obligations. Auditing the Company’s allocation of the transaction price to the performance obligations in a contract required a high degree of auditor judgment and an increased extent of auditor effort.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allocation of the transaction price to the performance obligations included the following, among others:</w:t>
      </w:r>
    </w:p>
    <w:p>
      <w:pPr>
        <w:spacing w:after="0" w:line="21" w:lineRule="exact"/>
        <w:rPr>
          <w:sz w:val="20"/>
          <w:szCs w:val="20"/>
          <w:color w:val="auto"/>
        </w:rPr>
      </w:pPr>
    </w:p>
    <w:p>
      <w:pPr>
        <w:ind w:left="660" w:hanging="328"/>
        <w:spacing w:after="0" w:line="255"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tested the effectiveness of relevant controls related to the Company’s determination of stand-alone selling price and the allocation of transaction price to performance obligations.</w:t>
      </w:r>
    </w:p>
    <w:p>
      <w:pPr>
        <w:jc w:val="both"/>
        <w:ind w:left="660" w:hanging="328"/>
        <w:spacing w:after="0" w:line="252"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selected certain products and services and tested the Company’s estimate of stand-alone selling price by evaluating historical prices charged for those performance obligations by the Company or other third parties, or by evaluating the reasonableness of the Company’s estimate if stand-alone selling prices were not available.</w:t>
      </w: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selected a sample of revenue transactions and tested the Company’s allocation of transaction price to performance obligations.</w:t>
      </w:r>
    </w:p>
    <w:p>
      <w:pPr>
        <w:spacing w:after="0" w:line="14" w:lineRule="exact"/>
        <w:rPr>
          <w:rFonts w:ascii="Arial" w:cs="Arial" w:eastAsia="Arial" w:hAnsi="Arial"/>
          <w:sz w:val="16"/>
          <w:szCs w:val="16"/>
          <w:color w:val="auto"/>
        </w:rPr>
      </w:pPr>
    </w:p>
    <w:p>
      <w:pPr>
        <w:jc w:val="both"/>
        <w:ind w:left="660" w:hanging="328"/>
        <w:spacing w:after="0" w:line="267"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We evaluated whether management’s revenue recognition accounting policies with respect to allocation of the transaction price to performance obligations are in accordance with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evaluated the appropriateness of management’s application of those accounting policies in the determination of revenue recognition conclusions.</w:t>
      </w:r>
    </w:p>
    <w:p>
      <w:pPr>
        <w:spacing w:after="0" w:line="251"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Deloitte &amp; Touche LLP</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4, 2026</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We have served as the Company’s auditor since 2022.</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GE HealthCare Technologies Inc.</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262"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We have audited the internal control over financial reporting of GE HealthCare Technologies Inc. (the “Company”) as of December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2025, based on criteria established in Internal Control — Integrated Framework (2013) issued by COSO.</w:t>
      </w:r>
    </w:p>
    <w:p>
      <w:pPr>
        <w:spacing w:after="0" w:line="200"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2025, of the Company and our report dated February 4, 2026, expressed an unqualified opinion on those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248"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262"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6"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Deloitte &amp; Touche LLP</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260" w:type="dxa"/>
            <w:vAlign w:val="bottom"/>
          </w:tcPr>
          <w:p>
            <w:pPr>
              <w:spacing w:after="0"/>
              <w:rPr>
                <w:sz w:val="20"/>
                <w:szCs w:val="20"/>
                <w:color w:val="auto"/>
              </w:rPr>
            </w:pPr>
            <w:r>
              <w:rPr>
                <w:rFonts w:ascii="Arial" w:cs="Arial" w:eastAsia="Arial" w:hAnsi="Arial"/>
                <w:sz w:val="16"/>
                <w:szCs w:val="16"/>
                <w:b w:val="1"/>
                <w:bCs w:val="1"/>
                <w:color w:val="auto"/>
              </w:rPr>
              <w:t>Consolidated Statements of Income</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4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7260" w:type="dxa"/>
            <w:vAlign w:val="bottom"/>
            <w:vMerge w:val="restart"/>
          </w:tcPr>
          <w:p>
            <w:pPr>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2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30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260" w:type="dxa"/>
            <w:vAlign w:val="bottom"/>
            <w:tcBorders>
              <w:bottom w:val="single" w:sz="8" w:color="6022A6"/>
            </w:tcBorders>
            <w:vMerge w:val="continue"/>
          </w:tcPr>
          <w:p>
            <w:pPr>
              <w:spacing w:after="0"/>
              <w:rPr>
                <w:sz w:val="19"/>
                <w:szCs w:val="19"/>
                <w:color w:val="auto"/>
              </w:rPr>
            </w:pPr>
          </w:p>
        </w:tc>
        <w:tc>
          <w:tcPr>
            <w:tcW w:w="280" w:type="dxa"/>
            <w:vAlign w:val="bottom"/>
            <w:tcBorders>
              <w:bottom w:val="single" w:sz="8" w:color="6022A6"/>
            </w:tcBorders>
          </w:tcPr>
          <w:p>
            <w:pPr>
              <w:spacing w:after="0"/>
              <w:rPr>
                <w:sz w:val="19"/>
                <w:szCs w:val="19"/>
                <w:color w:val="auto"/>
              </w:rPr>
            </w:pPr>
          </w:p>
        </w:tc>
        <w:tc>
          <w:tcPr>
            <w:tcW w:w="1020" w:type="dxa"/>
            <w:vAlign w:val="bottom"/>
            <w:tcBorders>
              <w:bottom w:val="single" w:sz="8" w:color="6022A6"/>
            </w:tcBorders>
          </w:tcPr>
          <w:p>
            <w:pPr>
              <w:jc w:val="right"/>
              <w:ind w:right="399"/>
              <w:spacing w:after="0"/>
              <w:rPr>
                <w:sz w:val="20"/>
                <w:szCs w:val="20"/>
                <w:color w:val="auto"/>
              </w:rPr>
            </w:pPr>
            <w:r>
              <w:rPr>
                <w:rFonts w:ascii="Arial" w:cs="Arial" w:eastAsia="Arial" w:hAnsi="Arial"/>
                <w:sz w:val="16"/>
                <w:szCs w:val="16"/>
                <w:b w:val="1"/>
                <w:bCs w:val="1"/>
                <w:color w:val="454545"/>
              </w:rPr>
              <w:t>2025</w:t>
            </w:r>
          </w:p>
        </w:tc>
        <w:tc>
          <w:tcPr>
            <w:tcW w:w="300" w:type="dxa"/>
            <w:vAlign w:val="bottom"/>
            <w:tcBorders>
              <w:bottom w:val="single" w:sz="8" w:color="6022A6"/>
            </w:tcBorders>
          </w:tcPr>
          <w:p>
            <w:pPr>
              <w:spacing w:after="0"/>
              <w:rPr>
                <w:sz w:val="19"/>
                <w:szCs w:val="19"/>
                <w:color w:val="auto"/>
              </w:rPr>
            </w:pPr>
          </w:p>
        </w:tc>
        <w:tc>
          <w:tcPr>
            <w:tcW w:w="1020" w:type="dxa"/>
            <w:vAlign w:val="bottom"/>
            <w:tcBorders>
              <w:bottom w:val="single" w:sz="8" w:color="6022A6"/>
            </w:tcBorders>
          </w:tcPr>
          <w:p>
            <w:pPr>
              <w:jc w:val="right"/>
              <w:ind w:right="399"/>
              <w:spacing w:after="0"/>
              <w:rPr>
                <w:sz w:val="20"/>
                <w:szCs w:val="20"/>
                <w:color w:val="auto"/>
              </w:rPr>
            </w:pPr>
            <w:r>
              <w:rPr>
                <w:rFonts w:ascii="Arial" w:cs="Arial" w:eastAsia="Arial" w:hAnsi="Arial"/>
                <w:sz w:val="16"/>
                <w:szCs w:val="16"/>
                <w:b w:val="1"/>
                <w:bCs w:val="1"/>
                <w:color w:val="454545"/>
              </w:rPr>
              <w:t>2024</w:t>
            </w:r>
          </w:p>
        </w:tc>
        <w:tc>
          <w:tcPr>
            <w:tcW w:w="280" w:type="dxa"/>
            <w:vAlign w:val="bottom"/>
            <w:tcBorders>
              <w:bottom w:val="single" w:sz="8" w:color="6022A6"/>
            </w:tcBorders>
          </w:tcPr>
          <w:p>
            <w:pPr>
              <w:spacing w:after="0"/>
              <w:rPr>
                <w:sz w:val="19"/>
                <w:szCs w:val="19"/>
                <w:color w:val="auto"/>
              </w:rPr>
            </w:pPr>
          </w:p>
        </w:tc>
        <w:tc>
          <w:tcPr>
            <w:tcW w:w="1020" w:type="dxa"/>
            <w:vAlign w:val="bottom"/>
            <w:tcBorders>
              <w:bottom w:val="single" w:sz="8" w:color="6022A6"/>
            </w:tcBorders>
          </w:tcPr>
          <w:p>
            <w:pPr>
              <w:jc w:val="right"/>
              <w:ind w:right="39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33"/>
        </w:trPr>
        <w:tc>
          <w:tcPr>
            <w:tcW w:w="72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Sales of products</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13,661</w:t>
            </w: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13,075</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13,127</w:t>
            </w:r>
          </w:p>
        </w:tc>
        <w:tc>
          <w:tcPr>
            <w:tcW w:w="0" w:type="dxa"/>
            <w:vAlign w:val="bottom"/>
          </w:tcPr>
          <w:p>
            <w:pPr>
              <w:spacing w:after="0"/>
              <w:rPr>
                <w:sz w:val="1"/>
                <w:szCs w:val="1"/>
                <w:color w:val="auto"/>
              </w:rPr>
            </w:pPr>
          </w:p>
        </w:tc>
      </w:tr>
      <w:tr>
        <w:trPr>
          <w:trHeight w:val="228"/>
        </w:trPr>
        <w:tc>
          <w:tcPr>
            <w:tcW w:w="7260" w:type="dxa"/>
            <w:vAlign w:val="bottom"/>
          </w:tcPr>
          <w:p>
            <w:pPr>
              <w:spacing w:after="0"/>
              <w:rPr>
                <w:sz w:val="20"/>
                <w:szCs w:val="20"/>
                <w:color w:val="auto"/>
              </w:rPr>
            </w:pPr>
            <w:r>
              <w:rPr>
                <w:rFonts w:ascii="Arial" w:cs="Arial" w:eastAsia="Arial" w:hAnsi="Arial"/>
                <w:sz w:val="16"/>
                <w:szCs w:val="16"/>
                <w:color w:val="auto"/>
              </w:rPr>
              <w:t>Sales of services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6,964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6,597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6,425</w:t>
            </w:r>
          </w:p>
        </w:tc>
        <w:tc>
          <w:tcPr>
            <w:tcW w:w="0" w:type="dxa"/>
            <w:vAlign w:val="bottom"/>
          </w:tcPr>
          <w:p>
            <w:pPr>
              <w:spacing w:after="0"/>
              <w:rPr>
                <w:sz w:val="1"/>
                <w:szCs w:val="1"/>
                <w:color w:val="auto"/>
              </w:rPr>
            </w:pPr>
          </w:p>
        </w:tc>
      </w:tr>
      <w:tr>
        <w:trPr>
          <w:trHeight w:val="29"/>
        </w:trPr>
        <w:tc>
          <w:tcPr>
            <w:tcW w:w="7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2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Total revenues</w:t>
            </w:r>
          </w:p>
        </w:tc>
        <w:tc>
          <w:tcPr>
            <w:tcW w:w="2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20,625</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19,672</w:t>
            </w:r>
          </w:p>
        </w:tc>
        <w:tc>
          <w:tcPr>
            <w:tcW w:w="2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19,552</w:t>
            </w:r>
          </w:p>
        </w:tc>
        <w:tc>
          <w:tcPr>
            <w:tcW w:w="0" w:type="dxa"/>
            <w:vAlign w:val="bottom"/>
          </w:tcPr>
          <w:p>
            <w:pPr>
              <w:spacing w:after="0"/>
              <w:rPr>
                <w:sz w:val="1"/>
                <w:szCs w:val="1"/>
                <w:color w:val="auto"/>
              </w:rPr>
            </w:pPr>
          </w:p>
        </w:tc>
      </w:tr>
      <w:tr>
        <w:trPr>
          <w:trHeight w:val="221"/>
        </w:trPr>
        <w:tc>
          <w:tcPr>
            <w:tcW w:w="72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Cost of products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8,942</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8,271</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8,465</w:t>
            </w:r>
          </w:p>
        </w:tc>
        <w:tc>
          <w:tcPr>
            <w:tcW w:w="0" w:type="dxa"/>
            <w:vAlign w:val="bottom"/>
          </w:tcPr>
          <w:p>
            <w:pPr>
              <w:spacing w:after="0"/>
              <w:rPr>
                <w:sz w:val="1"/>
                <w:szCs w:val="1"/>
                <w:color w:val="auto"/>
              </w:rPr>
            </w:pPr>
          </w:p>
        </w:tc>
      </w:tr>
      <w:tr>
        <w:trPr>
          <w:trHeight w:val="29"/>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2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Cost of services</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3,436</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3,196</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3,165</w:t>
            </w:r>
          </w:p>
        </w:tc>
        <w:tc>
          <w:tcPr>
            <w:tcW w:w="0" w:type="dxa"/>
            <w:vAlign w:val="bottom"/>
          </w:tcPr>
          <w:p>
            <w:pPr>
              <w:spacing w:after="0"/>
              <w:rPr>
                <w:sz w:val="1"/>
                <w:szCs w:val="1"/>
                <w:color w:val="auto"/>
              </w:rPr>
            </w:pPr>
          </w:p>
        </w:tc>
      </w:tr>
      <w:tr>
        <w:trPr>
          <w:trHeight w:val="229"/>
        </w:trPr>
        <w:tc>
          <w:tcPr>
            <w:tcW w:w="72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Gross profit</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8,248</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8,205</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7,922</w:t>
            </w:r>
          </w:p>
        </w:tc>
        <w:tc>
          <w:tcPr>
            <w:tcW w:w="0" w:type="dxa"/>
            <w:vAlign w:val="bottom"/>
          </w:tcPr>
          <w:p>
            <w:pPr>
              <w:spacing w:after="0"/>
              <w:rPr>
                <w:sz w:val="1"/>
                <w:szCs w:val="1"/>
                <w:color w:val="auto"/>
              </w:rPr>
            </w:pPr>
          </w:p>
        </w:tc>
      </w:tr>
      <w:tr>
        <w:trPr>
          <w:trHeight w:val="21"/>
        </w:trPr>
        <w:tc>
          <w:tcPr>
            <w:tcW w:w="7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4,225</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4,269</w:t>
            </w:r>
          </w:p>
        </w:tc>
        <w:tc>
          <w:tcPr>
            <w:tcW w:w="2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4,282</w:t>
            </w:r>
          </w:p>
        </w:tc>
        <w:tc>
          <w:tcPr>
            <w:tcW w:w="0" w:type="dxa"/>
            <w:vAlign w:val="bottom"/>
          </w:tcPr>
          <w:p>
            <w:pPr>
              <w:spacing w:after="0"/>
              <w:rPr>
                <w:sz w:val="1"/>
                <w:szCs w:val="1"/>
                <w:color w:val="auto"/>
              </w:rPr>
            </w:pPr>
          </w:p>
        </w:tc>
      </w:tr>
      <w:tr>
        <w:trPr>
          <w:trHeight w:val="227"/>
        </w:trPr>
        <w:tc>
          <w:tcPr>
            <w:tcW w:w="72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1,311</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1,205</w:t>
            </w:r>
          </w:p>
        </w:tc>
        <w:tc>
          <w:tcPr>
            <w:tcW w:w="0" w:type="dxa"/>
            <w:vAlign w:val="bottom"/>
          </w:tcPr>
          <w:p>
            <w:pPr>
              <w:spacing w:after="0"/>
              <w:rPr>
                <w:sz w:val="1"/>
                <w:szCs w:val="1"/>
                <w:color w:val="auto"/>
              </w:rPr>
            </w:pPr>
          </w:p>
        </w:tc>
      </w:tr>
      <w:tr>
        <w:trPr>
          <w:trHeight w:val="29"/>
        </w:trPr>
        <w:tc>
          <w:tcPr>
            <w:tcW w:w="7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2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Total operating expenses</w:t>
            </w:r>
          </w:p>
        </w:tc>
        <w:tc>
          <w:tcPr>
            <w:tcW w:w="2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5,485</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5,580</w:t>
            </w:r>
          </w:p>
        </w:tc>
        <w:tc>
          <w:tcPr>
            <w:tcW w:w="2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5,487</w:t>
            </w:r>
          </w:p>
        </w:tc>
        <w:tc>
          <w:tcPr>
            <w:tcW w:w="0" w:type="dxa"/>
            <w:vAlign w:val="bottom"/>
          </w:tcPr>
          <w:p>
            <w:pPr>
              <w:spacing w:after="0"/>
              <w:rPr>
                <w:sz w:val="1"/>
                <w:szCs w:val="1"/>
                <w:color w:val="auto"/>
              </w:rPr>
            </w:pPr>
          </w:p>
        </w:tc>
      </w:tr>
      <w:tr>
        <w:trPr>
          <w:trHeight w:val="229"/>
        </w:trPr>
        <w:tc>
          <w:tcPr>
            <w:tcW w:w="72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2,763</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2,625</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2,435</w:t>
            </w: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Interest and other financial charges – net</w:t>
            </w:r>
          </w:p>
        </w:tc>
        <w:tc>
          <w:tcPr>
            <w:tcW w:w="2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440</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504</w:t>
            </w:r>
          </w:p>
        </w:tc>
        <w:tc>
          <w:tcPr>
            <w:tcW w:w="2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542</w:t>
            </w:r>
          </w:p>
        </w:tc>
        <w:tc>
          <w:tcPr>
            <w:tcW w:w="0" w:type="dxa"/>
            <w:vAlign w:val="bottom"/>
          </w:tcPr>
          <w:p>
            <w:pPr>
              <w:spacing w:after="0"/>
              <w:rPr>
                <w:sz w:val="1"/>
                <w:szCs w:val="1"/>
                <w:color w:val="auto"/>
              </w:rPr>
            </w:pPr>
          </w:p>
        </w:tc>
      </w:tr>
      <w:tr>
        <w:trPr>
          <w:trHeight w:val="228"/>
        </w:trPr>
        <w:tc>
          <w:tcPr>
            <w:tcW w:w="7260" w:type="dxa"/>
            <w:vAlign w:val="bottom"/>
          </w:tcPr>
          <w:p>
            <w:pPr>
              <w:spacing w:after="0"/>
              <w:rPr>
                <w:sz w:val="20"/>
                <w:szCs w:val="20"/>
                <w:color w:val="auto"/>
              </w:rPr>
            </w:pPr>
            <w:r>
              <w:rPr>
                <w:rFonts w:ascii="Arial" w:cs="Arial" w:eastAsia="Arial" w:hAnsi="Arial"/>
                <w:sz w:val="16"/>
                <w:szCs w:val="16"/>
                <w:color w:val="auto"/>
              </w:rPr>
              <w:t>Non-operating benefit (income) costs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9"/>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2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Other (income) expense – net</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29"/>
        </w:trPr>
        <w:tc>
          <w:tcPr>
            <w:tcW w:w="72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2,768</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2,581</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2,361</w:t>
            </w:r>
          </w:p>
        </w:tc>
        <w:tc>
          <w:tcPr>
            <w:tcW w:w="0" w:type="dxa"/>
            <w:vAlign w:val="bottom"/>
          </w:tcPr>
          <w:p>
            <w:pPr>
              <w:spacing w:after="0"/>
              <w:rPr>
                <w:sz w:val="1"/>
                <w:szCs w:val="1"/>
                <w:color w:val="auto"/>
              </w:rPr>
            </w:pPr>
          </w:p>
        </w:tc>
      </w:tr>
      <w:tr>
        <w:trPr>
          <w:trHeight w:val="21"/>
        </w:trPr>
        <w:tc>
          <w:tcPr>
            <w:tcW w:w="7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72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Benefit (provision) for income taxes</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(614)</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(531)</w:t>
            </w:r>
          </w:p>
        </w:tc>
        <w:tc>
          <w:tcPr>
            <w:tcW w:w="28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29"/>
        </w:trPr>
        <w:tc>
          <w:tcPr>
            <w:tcW w:w="72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Net income from continuing operations</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2,154</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2,050</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1,618</w:t>
            </w:r>
          </w:p>
        </w:tc>
        <w:tc>
          <w:tcPr>
            <w:tcW w:w="0" w:type="dxa"/>
            <w:vAlign w:val="bottom"/>
          </w:tcPr>
          <w:p>
            <w:pPr>
              <w:spacing w:after="0"/>
              <w:rPr>
                <w:sz w:val="1"/>
                <w:szCs w:val="1"/>
                <w:color w:val="auto"/>
              </w:rPr>
            </w:pPr>
          </w:p>
        </w:tc>
      </w:tr>
      <w:tr>
        <w:trPr>
          <w:trHeight w:val="21"/>
        </w:trPr>
        <w:tc>
          <w:tcPr>
            <w:tcW w:w="7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2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Income (loss) from discontinued operations, net of taxes</w:t>
            </w:r>
          </w:p>
        </w:tc>
        <w:tc>
          <w:tcPr>
            <w:tcW w:w="2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72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2,154</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2,050</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1,614</w:t>
            </w:r>
          </w:p>
        </w:tc>
        <w:tc>
          <w:tcPr>
            <w:tcW w:w="0" w:type="dxa"/>
            <w:vAlign w:val="bottom"/>
          </w:tcPr>
          <w:p>
            <w:pPr>
              <w:spacing w:after="0"/>
              <w:rPr>
                <w:sz w:val="1"/>
                <w:szCs w:val="1"/>
                <w:color w:val="auto"/>
              </w:rPr>
            </w:pPr>
          </w:p>
        </w:tc>
      </w:tr>
      <w:tr>
        <w:trPr>
          <w:trHeight w:val="21"/>
        </w:trPr>
        <w:tc>
          <w:tcPr>
            <w:tcW w:w="7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2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2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2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9"/>
        </w:trPr>
        <w:tc>
          <w:tcPr>
            <w:tcW w:w="72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Net income attributable to GE HealthCare</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2,084</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1,993</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1,568</w:t>
            </w:r>
          </w:p>
        </w:tc>
        <w:tc>
          <w:tcPr>
            <w:tcW w:w="0" w:type="dxa"/>
            <w:vAlign w:val="bottom"/>
          </w:tcPr>
          <w:p>
            <w:pPr>
              <w:spacing w:after="0"/>
              <w:rPr>
                <w:sz w:val="1"/>
                <w:szCs w:val="1"/>
                <w:color w:val="auto"/>
              </w:rPr>
            </w:pPr>
          </w:p>
        </w:tc>
      </w:tr>
      <w:tr>
        <w:trPr>
          <w:trHeight w:val="21"/>
        </w:trPr>
        <w:tc>
          <w:tcPr>
            <w:tcW w:w="7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2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2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9"/>
        </w:trPr>
        <w:tc>
          <w:tcPr>
            <w:tcW w:w="72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Net income attributable to GE HealthCare common stockholders</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2,084</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1,993</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1,385</w:t>
            </w:r>
          </w:p>
        </w:tc>
        <w:tc>
          <w:tcPr>
            <w:tcW w:w="0" w:type="dxa"/>
            <w:vAlign w:val="bottom"/>
          </w:tcPr>
          <w:p>
            <w:pPr>
              <w:spacing w:after="0"/>
              <w:rPr>
                <w:sz w:val="1"/>
                <w:szCs w:val="1"/>
                <w:color w:val="auto"/>
              </w:rPr>
            </w:pPr>
          </w:p>
        </w:tc>
      </w:tr>
      <w:tr>
        <w:trPr>
          <w:trHeight w:val="21"/>
        </w:trPr>
        <w:tc>
          <w:tcPr>
            <w:tcW w:w="7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1020" w:type="dxa"/>
            <w:vAlign w:val="bottom"/>
            <w:shd w:val="clear" w:color="auto" w:fill="E4E4E4"/>
          </w:tcPr>
          <w:p>
            <w:pPr>
              <w:spacing w:after="0"/>
              <w:rPr>
                <w:sz w:val="17"/>
                <w:szCs w:val="17"/>
                <w:color w:val="auto"/>
              </w:rPr>
            </w:pPr>
          </w:p>
        </w:tc>
        <w:tc>
          <w:tcPr>
            <w:tcW w:w="300" w:type="dxa"/>
            <w:vAlign w:val="bottom"/>
            <w:shd w:val="clear" w:color="auto" w:fill="E4E4E4"/>
          </w:tcPr>
          <w:p>
            <w:pPr>
              <w:spacing w:after="0"/>
              <w:rPr>
                <w:sz w:val="17"/>
                <w:szCs w:val="17"/>
                <w:color w:val="auto"/>
              </w:rPr>
            </w:pPr>
          </w:p>
        </w:tc>
        <w:tc>
          <w:tcPr>
            <w:tcW w:w="1020" w:type="dxa"/>
            <w:vAlign w:val="bottom"/>
            <w:shd w:val="clear" w:color="auto" w:fill="E4E4E4"/>
          </w:tcPr>
          <w:p>
            <w:pPr>
              <w:spacing w:after="0"/>
              <w:rPr>
                <w:sz w:val="17"/>
                <w:szCs w:val="17"/>
                <w:color w:val="auto"/>
              </w:rPr>
            </w:pPr>
          </w:p>
        </w:tc>
        <w:tc>
          <w:tcPr>
            <w:tcW w:w="280" w:type="dxa"/>
            <w:vAlign w:val="bottom"/>
            <w:shd w:val="clear" w:color="auto" w:fill="E4E4E4"/>
          </w:tcPr>
          <w:p>
            <w:pPr>
              <w:spacing w:after="0"/>
              <w:rPr>
                <w:sz w:val="17"/>
                <w:szCs w:val="17"/>
                <w:color w:val="auto"/>
              </w:rPr>
            </w:pPr>
          </w:p>
        </w:tc>
        <w:tc>
          <w:tcPr>
            <w:tcW w:w="1020" w:type="dxa"/>
            <w:vAlign w:val="bottom"/>
            <w:shd w:val="clear" w:color="auto" w:fill="E4E4E4"/>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260" w:type="dxa"/>
            <w:vAlign w:val="bottom"/>
          </w:tcPr>
          <w:p>
            <w:pPr>
              <w:spacing w:after="0"/>
              <w:rPr>
                <w:sz w:val="20"/>
                <w:szCs w:val="20"/>
                <w:color w:val="auto"/>
              </w:rPr>
            </w:pPr>
            <w:r>
              <w:rPr>
                <w:rFonts w:ascii="Arial" w:cs="Arial" w:eastAsia="Arial" w:hAnsi="Arial"/>
                <w:sz w:val="16"/>
                <w:szCs w:val="16"/>
                <w:b w:val="1"/>
                <w:bCs w:val="1"/>
                <w:color w:val="auto"/>
              </w:rPr>
              <w:t>Earnings per share from continuing operations attributable to GE HealthCare common</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Arial" w:cs="Arial" w:eastAsia="Arial" w:hAnsi="Arial"/>
                <w:sz w:val="16"/>
                <w:szCs w:val="16"/>
                <w:b w:val="1"/>
                <w:bCs w:val="1"/>
                <w:color w:val="auto"/>
              </w:rPr>
              <w:t>stockholders: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26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4.56</w:t>
            </w: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4.37</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28"/>
        </w:trPr>
        <w:tc>
          <w:tcPr>
            <w:tcW w:w="7260" w:type="dxa"/>
            <w:vAlign w:val="bottom"/>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9"/>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2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Earnings per share attributable to GE HealthCare common stockholders:</w:t>
            </w:r>
          </w:p>
        </w:tc>
        <w:tc>
          <w:tcPr>
            <w:tcW w:w="280" w:type="dxa"/>
            <w:vAlign w:val="bottom"/>
            <w:tcBorders>
              <w:bottom w:val="single" w:sz="8" w:color="E4E4E4"/>
            </w:tcBorders>
            <w:shd w:val="clear" w:color="auto" w:fill="E4E4E4"/>
          </w:tcPr>
          <w:p>
            <w:pPr>
              <w:spacing w:after="0"/>
              <w:rPr>
                <w:sz w:val="19"/>
                <w:szCs w:val="19"/>
                <w:color w:val="auto"/>
              </w:rPr>
            </w:pPr>
          </w:p>
        </w:tc>
        <w:tc>
          <w:tcPr>
            <w:tcW w:w="1020" w:type="dxa"/>
            <w:vAlign w:val="bottom"/>
            <w:tcBorders>
              <w:bottom w:val="single" w:sz="8" w:color="E4E4E4"/>
            </w:tcBorders>
            <w:shd w:val="clear" w:color="auto" w:fill="E4E4E4"/>
          </w:tcPr>
          <w:p>
            <w:pPr>
              <w:spacing w:after="0"/>
              <w:rPr>
                <w:sz w:val="19"/>
                <w:szCs w:val="19"/>
                <w:color w:val="auto"/>
              </w:rPr>
            </w:pPr>
          </w:p>
        </w:tc>
        <w:tc>
          <w:tcPr>
            <w:tcW w:w="300" w:type="dxa"/>
            <w:vAlign w:val="bottom"/>
            <w:tcBorders>
              <w:bottom w:val="single" w:sz="8" w:color="E4E4E4"/>
            </w:tcBorders>
            <w:shd w:val="clear" w:color="auto" w:fill="E4E4E4"/>
          </w:tcPr>
          <w:p>
            <w:pPr>
              <w:spacing w:after="0"/>
              <w:rPr>
                <w:sz w:val="19"/>
                <w:szCs w:val="19"/>
                <w:color w:val="auto"/>
              </w:rPr>
            </w:pPr>
          </w:p>
        </w:tc>
        <w:tc>
          <w:tcPr>
            <w:tcW w:w="1020" w:type="dxa"/>
            <w:vAlign w:val="bottom"/>
            <w:tcBorders>
              <w:bottom w:val="single" w:sz="8" w:color="E4E4E4"/>
            </w:tcBorders>
            <w:shd w:val="clear" w:color="auto" w:fill="E4E4E4"/>
          </w:tcPr>
          <w:p>
            <w:pPr>
              <w:spacing w:after="0"/>
              <w:rPr>
                <w:sz w:val="19"/>
                <w:szCs w:val="19"/>
                <w:color w:val="auto"/>
              </w:rPr>
            </w:pPr>
          </w:p>
        </w:tc>
        <w:tc>
          <w:tcPr>
            <w:tcW w:w="280" w:type="dxa"/>
            <w:vAlign w:val="bottom"/>
            <w:tcBorders>
              <w:bottom w:val="single" w:sz="8" w:color="E4E4E4"/>
            </w:tcBorders>
            <w:shd w:val="clear" w:color="auto" w:fill="E4E4E4"/>
          </w:tcPr>
          <w:p>
            <w:pPr>
              <w:spacing w:after="0"/>
              <w:rPr>
                <w:sz w:val="19"/>
                <w:szCs w:val="19"/>
                <w:color w:val="auto"/>
              </w:rPr>
            </w:pPr>
          </w:p>
        </w:tc>
        <w:tc>
          <w:tcPr>
            <w:tcW w:w="1020" w:type="dxa"/>
            <w:vAlign w:val="bottom"/>
            <w:tcBorders>
              <w:bottom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260" w:type="dxa"/>
            <w:vAlign w:val="bottom"/>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4.56</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9"/>
        </w:trPr>
        <w:tc>
          <w:tcPr>
            <w:tcW w:w="7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26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4.55</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4.34</w:t>
            </w:r>
          </w:p>
        </w:tc>
        <w:tc>
          <w:tcPr>
            <w:tcW w:w="2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26"/>
        </w:trPr>
        <w:tc>
          <w:tcPr>
            <w:tcW w:w="7260" w:type="dxa"/>
            <w:vAlign w:val="bottom"/>
          </w:tcPr>
          <w:p>
            <w:pPr>
              <w:spacing w:after="0"/>
              <w:rPr>
                <w:sz w:val="20"/>
                <w:szCs w:val="20"/>
                <w:color w:val="auto"/>
              </w:rPr>
            </w:pPr>
            <w:r>
              <w:rPr>
                <w:rFonts w:ascii="Arial" w:cs="Arial" w:eastAsia="Arial" w:hAnsi="Arial"/>
                <w:sz w:val="16"/>
                <w:szCs w:val="16"/>
                <w:b w:val="1"/>
                <w:bCs w:val="1"/>
                <w:color w:val="auto"/>
              </w:rPr>
              <w:t>Weighted-average number of shares outstanding:</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26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456</w:t>
            </w:r>
          </w:p>
        </w:tc>
        <w:tc>
          <w:tcPr>
            <w:tcW w:w="30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456</w:t>
            </w:r>
          </w:p>
        </w:tc>
        <w:tc>
          <w:tcPr>
            <w:tcW w:w="280" w:type="dxa"/>
            <w:vAlign w:val="bottom"/>
            <w:tcBorders>
              <w:bottom w:val="single" w:sz="8" w:color="E4E4E4"/>
            </w:tcBorders>
            <w:shd w:val="clear" w:color="auto" w:fill="E4E4E4"/>
          </w:tcPr>
          <w:p>
            <w:pPr>
              <w:spacing w:after="0"/>
              <w:rPr>
                <w:sz w:val="20"/>
                <w:szCs w:val="20"/>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28"/>
        </w:trPr>
        <w:tc>
          <w:tcPr>
            <w:tcW w:w="7260" w:type="dxa"/>
            <w:vAlign w:val="bottom"/>
          </w:tcPr>
          <w:p>
            <w:pPr>
              <w:ind w:left="12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458</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459</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9"/>
        </w:trPr>
        <w:tc>
          <w:tcPr>
            <w:tcW w:w="7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6" w:name="page57"/>
    <w:bookmarkEnd w:id="5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060" w:type="dxa"/>
            <w:vAlign w:val="bottom"/>
          </w:tcPr>
          <w:p>
            <w:pPr>
              <w:spacing w:after="0"/>
              <w:rPr>
                <w:sz w:val="20"/>
                <w:szCs w:val="20"/>
                <w:color w:val="auto"/>
              </w:rPr>
            </w:pPr>
            <w:r>
              <w:rPr>
                <w:rFonts w:ascii="Arial" w:cs="Arial" w:eastAsia="Arial" w:hAnsi="Arial"/>
                <w:sz w:val="16"/>
                <w:szCs w:val="16"/>
                <w:b w:val="1"/>
                <w:bCs w:val="1"/>
                <w:color w:val="auto"/>
              </w:rPr>
              <w:t>Consolidated Statements of Comprehensive Income (Loss)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2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7060" w:type="dxa"/>
            <w:vAlign w:val="bottom"/>
            <w:vMerge w:val="restart"/>
          </w:tcPr>
          <w:p>
            <w:pPr>
              <w:spacing w:after="0"/>
              <w:rPr>
                <w:sz w:val="20"/>
                <w:szCs w:val="20"/>
                <w:color w:val="auto"/>
              </w:rPr>
            </w:pPr>
            <w:r>
              <w:rPr>
                <w:rFonts w:ascii="Arial" w:cs="Arial" w:eastAsia="Arial" w:hAnsi="Arial"/>
                <w:sz w:val="16"/>
                <w:szCs w:val="16"/>
                <w:b w:val="1"/>
                <w:bCs w:val="1"/>
                <w:i w:val="1"/>
                <w:iCs w:val="1"/>
                <w:color w:val="454545"/>
              </w:rPr>
              <w:t>(In millions)</w:t>
            </w:r>
          </w:p>
        </w:tc>
        <w:tc>
          <w:tcPr>
            <w:tcW w:w="30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7060" w:type="dxa"/>
            <w:vAlign w:val="bottom"/>
            <w:tcBorders>
              <w:bottom w:val="single" w:sz="8" w:color="6022A6"/>
            </w:tcBorders>
            <w:vMerge w:val="continue"/>
          </w:tcPr>
          <w:p>
            <w:pPr>
              <w:spacing w:after="0"/>
              <w:rPr>
                <w:sz w:val="19"/>
                <w:szCs w:val="19"/>
                <w:color w:val="auto"/>
              </w:rPr>
            </w:pPr>
          </w:p>
        </w:tc>
        <w:tc>
          <w:tcPr>
            <w:tcW w:w="300" w:type="dxa"/>
            <w:vAlign w:val="bottom"/>
            <w:tcBorders>
              <w:bottom w:val="single" w:sz="8" w:color="6022A6"/>
            </w:tcBorders>
          </w:tcPr>
          <w:p>
            <w:pPr>
              <w:spacing w:after="0"/>
              <w:rPr>
                <w:sz w:val="19"/>
                <w:szCs w:val="19"/>
                <w:color w:val="auto"/>
              </w:rPr>
            </w:pPr>
          </w:p>
        </w:tc>
        <w:tc>
          <w:tcPr>
            <w:tcW w:w="1060" w:type="dxa"/>
            <w:vAlign w:val="bottom"/>
            <w:tcBorders>
              <w:bottom w:val="single" w:sz="8" w:color="6022A6"/>
            </w:tcBorders>
          </w:tcPr>
          <w:p>
            <w:pPr>
              <w:jc w:val="right"/>
              <w:ind w:right="419"/>
              <w:spacing w:after="0"/>
              <w:rPr>
                <w:sz w:val="20"/>
                <w:szCs w:val="20"/>
                <w:color w:val="auto"/>
              </w:rPr>
            </w:pPr>
            <w:r>
              <w:rPr>
                <w:rFonts w:ascii="Arial" w:cs="Arial" w:eastAsia="Arial" w:hAnsi="Arial"/>
                <w:sz w:val="16"/>
                <w:szCs w:val="16"/>
                <w:b w:val="1"/>
                <w:bCs w:val="1"/>
                <w:color w:val="454545"/>
              </w:rPr>
              <w:t>2025</w:t>
            </w:r>
          </w:p>
        </w:tc>
        <w:tc>
          <w:tcPr>
            <w:tcW w:w="320" w:type="dxa"/>
            <w:vAlign w:val="bottom"/>
            <w:tcBorders>
              <w:bottom w:val="single" w:sz="8" w:color="6022A6"/>
            </w:tcBorders>
          </w:tcPr>
          <w:p>
            <w:pPr>
              <w:spacing w:after="0"/>
              <w:rPr>
                <w:sz w:val="19"/>
                <w:szCs w:val="19"/>
                <w:color w:val="auto"/>
              </w:rPr>
            </w:pPr>
          </w:p>
        </w:tc>
        <w:tc>
          <w:tcPr>
            <w:tcW w:w="1060" w:type="dxa"/>
            <w:vAlign w:val="bottom"/>
            <w:tcBorders>
              <w:bottom w:val="single" w:sz="8" w:color="6022A6"/>
            </w:tcBorders>
          </w:tcPr>
          <w:p>
            <w:pPr>
              <w:jc w:val="right"/>
              <w:ind w:right="419"/>
              <w:spacing w:after="0"/>
              <w:rPr>
                <w:sz w:val="20"/>
                <w:szCs w:val="20"/>
                <w:color w:val="auto"/>
              </w:rPr>
            </w:pPr>
            <w:r>
              <w:rPr>
                <w:rFonts w:ascii="Arial" w:cs="Arial" w:eastAsia="Arial" w:hAnsi="Arial"/>
                <w:sz w:val="16"/>
                <w:szCs w:val="16"/>
                <w:b w:val="1"/>
                <w:bCs w:val="1"/>
                <w:color w:val="454545"/>
              </w:rPr>
              <w:t>2024</w:t>
            </w:r>
          </w:p>
        </w:tc>
        <w:tc>
          <w:tcPr>
            <w:tcW w:w="320" w:type="dxa"/>
            <w:vAlign w:val="bottom"/>
            <w:tcBorders>
              <w:bottom w:val="single" w:sz="8" w:color="6022A6"/>
            </w:tcBorders>
          </w:tcPr>
          <w:p>
            <w:pPr>
              <w:spacing w:after="0"/>
              <w:rPr>
                <w:sz w:val="19"/>
                <w:szCs w:val="19"/>
                <w:color w:val="auto"/>
              </w:rPr>
            </w:pPr>
          </w:p>
        </w:tc>
        <w:tc>
          <w:tcPr>
            <w:tcW w:w="1060" w:type="dxa"/>
            <w:vAlign w:val="bottom"/>
            <w:tcBorders>
              <w:bottom w:val="single" w:sz="8" w:color="6022A6"/>
            </w:tcBorders>
          </w:tcPr>
          <w:p>
            <w:pPr>
              <w:jc w:val="right"/>
              <w:ind w:right="41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33"/>
        </w:trPr>
        <w:tc>
          <w:tcPr>
            <w:tcW w:w="70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Net income attributable to GE HealthCare</w:t>
            </w: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2,084</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1,993</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1,568</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70</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9"/>
        </w:trPr>
        <w:tc>
          <w:tcPr>
            <w:tcW w:w="7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Net income</w:t>
            </w:r>
          </w:p>
        </w:tc>
        <w:tc>
          <w:tcPr>
            <w:tcW w:w="30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2,154</w:t>
            </w: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2,050</w:t>
            </w: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1,614</w:t>
            </w:r>
          </w:p>
        </w:tc>
        <w:tc>
          <w:tcPr>
            <w:tcW w:w="0" w:type="dxa"/>
            <w:vAlign w:val="bottom"/>
          </w:tcPr>
          <w:p>
            <w:pPr>
              <w:spacing w:after="0"/>
              <w:rPr>
                <w:sz w:val="1"/>
                <w:szCs w:val="1"/>
                <w:color w:val="auto"/>
              </w:rPr>
            </w:pPr>
          </w:p>
        </w:tc>
      </w:tr>
      <w:tr>
        <w:trPr>
          <w:trHeight w:val="220"/>
        </w:trPr>
        <w:tc>
          <w:tcPr>
            <w:tcW w:w="7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Other comprehensive income (loss):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70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Currency translation adjustments – net of taxes</w:t>
            </w:r>
          </w:p>
        </w:tc>
        <w:tc>
          <w:tcPr>
            <w:tcW w:w="30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418</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(271)</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28"/>
        </w:trPr>
        <w:tc>
          <w:tcPr>
            <w:tcW w:w="7060" w:type="dxa"/>
            <w:vAlign w:val="bottom"/>
          </w:tcPr>
          <w:p>
            <w:pPr>
              <w:spacing w:after="0"/>
              <w:rPr>
                <w:sz w:val="20"/>
                <w:szCs w:val="20"/>
                <w:color w:val="auto"/>
              </w:rPr>
            </w:pPr>
            <w:r>
              <w:rPr>
                <w:rFonts w:ascii="Arial" w:cs="Arial" w:eastAsia="Arial" w:hAnsi="Arial"/>
                <w:sz w:val="16"/>
                <w:szCs w:val="16"/>
                <w:color w:val="auto"/>
              </w:rPr>
              <w:t>Pension and Other Postretirement Plans – net of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(422)</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(897)</w:t>
            </w:r>
          </w:p>
        </w:tc>
        <w:tc>
          <w:tcPr>
            <w:tcW w:w="0" w:type="dxa"/>
            <w:vAlign w:val="bottom"/>
          </w:tcPr>
          <w:p>
            <w:pPr>
              <w:spacing w:after="0"/>
              <w:rPr>
                <w:sz w:val="1"/>
                <w:szCs w:val="1"/>
                <w:color w:val="auto"/>
              </w:rPr>
            </w:pPr>
          </w:p>
        </w:tc>
      </w:tr>
      <w:tr>
        <w:trPr>
          <w:trHeight w:val="29"/>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0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Cash flow hedges – net of taxes</w:t>
            </w:r>
          </w:p>
        </w:tc>
        <w:tc>
          <w:tcPr>
            <w:tcW w:w="30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29"/>
        </w:trPr>
        <w:tc>
          <w:tcPr>
            <w:tcW w:w="706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Other comprehensive income (loss)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(691)</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(850)</w:t>
            </w:r>
          </w:p>
        </w:tc>
        <w:tc>
          <w:tcPr>
            <w:tcW w:w="0" w:type="dxa"/>
            <w:vAlign w:val="bottom"/>
          </w:tcPr>
          <w:p>
            <w:pPr>
              <w:spacing w:after="0"/>
              <w:rPr>
                <w:sz w:val="1"/>
                <w:szCs w:val="1"/>
                <w:color w:val="auto"/>
              </w:rPr>
            </w:pP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70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Comprehensive income (loss)</w:t>
            </w:r>
          </w:p>
        </w:tc>
        <w:tc>
          <w:tcPr>
            <w:tcW w:w="30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2,134</w:t>
            </w: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1,359</w:t>
            </w:r>
          </w:p>
        </w:tc>
        <w:tc>
          <w:tcPr>
            <w:tcW w:w="32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764</w:t>
            </w:r>
          </w:p>
        </w:tc>
        <w:tc>
          <w:tcPr>
            <w:tcW w:w="0" w:type="dxa"/>
            <w:vAlign w:val="bottom"/>
          </w:tcPr>
          <w:p>
            <w:pPr>
              <w:spacing w:after="0"/>
              <w:rPr>
                <w:sz w:val="1"/>
                <w:szCs w:val="1"/>
                <w:color w:val="auto"/>
              </w:rPr>
            </w:pPr>
          </w:p>
        </w:tc>
      </w:tr>
      <w:tr>
        <w:trPr>
          <w:trHeight w:val="221"/>
        </w:trPr>
        <w:tc>
          <w:tcPr>
            <w:tcW w:w="70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9"/>
        </w:trPr>
        <w:tc>
          <w:tcPr>
            <w:tcW w:w="7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6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Comprehensive income attributable to GE HealthCare</w:t>
            </w: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2,074</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1,306</w:t>
            </w:r>
          </w:p>
        </w:tc>
        <w:tc>
          <w:tcPr>
            <w:tcW w:w="32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755</w:t>
            </w:r>
          </w:p>
        </w:tc>
        <w:tc>
          <w:tcPr>
            <w:tcW w:w="0" w:type="dxa"/>
            <w:vAlign w:val="bottom"/>
          </w:tcPr>
          <w:p>
            <w:pPr>
              <w:spacing w:after="0"/>
              <w:rPr>
                <w:sz w:val="1"/>
                <w:szCs w:val="1"/>
                <w:color w:val="auto"/>
              </w:rPr>
            </w:pPr>
          </w:p>
        </w:tc>
      </w:tr>
      <w:tr>
        <w:trPr>
          <w:trHeight w:val="20"/>
        </w:trPr>
        <w:tc>
          <w:tcPr>
            <w:tcW w:w="7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7" w:name="page58"/>
    <w:bookmarkEnd w:id="5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784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Financial Position</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3"/>
          </w:tcPr>
          <w:p>
            <w:pPr>
              <w:jc w:val="right"/>
              <w:ind w:right="1399"/>
              <w:spacing w:after="0"/>
              <w:rPr>
                <w:sz w:val="20"/>
                <w:szCs w:val="20"/>
                <w:color w:val="auto"/>
              </w:rPr>
            </w:pPr>
            <w:r>
              <w:rPr>
                <w:rFonts w:ascii="Arial" w:cs="Arial" w:eastAsia="Arial" w:hAnsi="Arial"/>
                <w:sz w:val="16"/>
                <w:szCs w:val="16"/>
                <w:b w:val="1"/>
                <w:bCs w:val="1"/>
                <w:color w:val="454545"/>
              </w:rPr>
              <w:t>As of</w:t>
            </w:r>
          </w:p>
        </w:tc>
        <w:tc>
          <w:tcPr>
            <w:tcW w:w="0" w:type="dxa"/>
            <w:vAlign w:val="bottom"/>
          </w:tcPr>
          <w:p>
            <w:pPr>
              <w:spacing w:after="0"/>
              <w:rPr>
                <w:sz w:val="1"/>
                <w:szCs w:val="1"/>
                <w:color w:val="auto"/>
              </w:rPr>
            </w:pPr>
          </w:p>
        </w:tc>
      </w:tr>
      <w:tr>
        <w:trPr>
          <w:trHeight w:val="21"/>
        </w:trPr>
        <w:tc>
          <w:tcPr>
            <w:tcW w:w="784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share and per share amounts)</w:t>
            </w:r>
          </w:p>
        </w:tc>
        <w:tc>
          <w:tcPr>
            <w:tcW w:w="10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5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8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December 31, 2025</w:t>
            </w:r>
          </w:p>
        </w:tc>
        <w:tc>
          <w:tcPr>
            <w:tcW w:w="140" w:type="dxa"/>
            <w:vAlign w:val="bottom"/>
          </w:tcPr>
          <w:p>
            <w:pPr>
              <w:spacing w:after="0"/>
              <w:rPr>
                <w:sz w:val="19"/>
                <w:szCs w:val="19"/>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December 31, 2024</w:t>
            </w:r>
          </w:p>
        </w:tc>
        <w:tc>
          <w:tcPr>
            <w:tcW w:w="0" w:type="dxa"/>
            <w:vAlign w:val="bottom"/>
          </w:tcPr>
          <w:p>
            <w:pPr>
              <w:spacing w:after="0"/>
              <w:rPr>
                <w:sz w:val="1"/>
                <w:szCs w:val="1"/>
                <w:color w:val="auto"/>
              </w:rPr>
            </w:pPr>
          </w:p>
        </w:tc>
      </w:tr>
      <w:tr>
        <w:trPr>
          <w:trHeight w:val="21"/>
        </w:trPr>
        <w:tc>
          <w:tcPr>
            <w:tcW w:w="784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5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4,512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2,889</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Receivables – net of allowances of $103 and $103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3,955</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3,566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Inventories</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2,234</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Contract and other deferred assets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1,073</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assets</w:t>
            </w:r>
          </w:p>
        </w:tc>
        <w:tc>
          <w:tcPr>
            <w:tcW w:w="10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726</w:t>
            </w:r>
          </w:p>
        </w:tc>
        <w:tc>
          <w:tcPr>
            <w:tcW w:w="14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532</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assets</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12,501</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9,901</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Property, plant, and equipment – net</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3,092</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2,550</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13,489</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13,136</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intangible assets – net</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1,130</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4,491</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4,474</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assets</w:t>
            </w:r>
          </w:p>
        </w:tc>
        <w:tc>
          <w:tcPr>
            <w:tcW w:w="10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2,205</w:t>
            </w:r>
          </w:p>
        </w:tc>
        <w:tc>
          <w:tcPr>
            <w:tcW w:w="14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assets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36,906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33,089</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Short-term borrowings</w:t>
            </w:r>
          </w:p>
        </w:tc>
        <w:tc>
          <w:tcPr>
            <w:tcW w:w="1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1,502</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3,250</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3,035</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2,095</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1,943</w:t>
            </w:r>
          </w:p>
        </w:tc>
        <w:tc>
          <w:tcPr>
            <w:tcW w:w="0" w:type="dxa"/>
            <w:vAlign w:val="bottom"/>
          </w:tcPr>
          <w:p>
            <w:pPr>
              <w:spacing w:after="0"/>
              <w:rPr>
                <w:sz w:val="1"/>
                <w:szCs w:val="1"/>
                <w:color w:val="auto"/>
              </w:rPr>
            </w:pPr>
          </w:p>
        </w:tc>
      </w:tr>
      <w:tr>
        <w:trPr>
          <w:trHeight w:val="227"/>
        </w:trPr>
        <w:tc>
          <w:tcPr>
            <w:tcW w:w="7840" w:type="dxa"/>
            <w:vAlign w:val="bottom"/>
          </w:tcPr>
          <w:p>
            <w:pPr>
              <w:ind w:left="20"/>
              <w:spacing w:after="0"/>
              <w:rPr>
                <w:sz w:val="20"/>
                <w:szCs w:val="20"/>
                <w:color w:val="auto"/>
              </w:rPr>
            </w:pPr>
            <w:r>
              <w:rPr>
                <w:rFonts w:ascii="Arial" w:cs="Arial" w:eastAsia="Arial" w:hAnsi="Arial"/>
                <w:sz w:val="16"/>
                <w:szCs w:val="16"/>
                <w:color w:val="auto"/>
              </w:rPr>
              <w:t>Current compensation and benefits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1,666</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current liabilities</w:t>
            </w:r>
          </w:p>
        </w:tc>
        <w:tc>
          <w:tcPr>
            <w:tcW w:w="10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1,587</w:t>
            </w:r>
          </w:p>
        </w:tc>
        <w:tc>
          <w:tcPr>
            <w:tcW w:w="140" w:type="dxa"/>
            <w:vAlign w:val="bottom"/>
            <w:tcBorders>
              <w:bottom w:val="single" w:sz="8" w:color="E4E4E4"/>
            </w:tcBorders>
            <w:shd w:val="clear" w:color="auto" w:fill="E4E4E4"/>
          </w:tcPr>
          <w:p>
            <w:pPr>
              <w:spacing w:after="0"/>
              <w:rPr>
                <w:sz w:val="22"/>
                <w:szCs w:val="22"/>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1,552</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9,105</w:t>
            </w: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9,553</w:t>
            </w:r>
          </w:p>
        </w:tc>
        <w:tc>
          <w:tcPr>
            <w:tcW w:w="0" w:type="dxa"/>
            <w:vAlign w:val="bottom"/>
          </w:tcPr>
          <w:p>
            <w:pPr>
              <w:spacing w:after="0"/>
              <w:rPr>
                <w:sz w:val="1"/>
                <w:szCs w:val="1"/>
                <w:color w:val="auto"/>
              </w:rPr>
            </w:pPr>
          </w:p>
        </w:tc>
      </w:tr>
      <w:tr>
        <w:trPr>
          <w:trHeight w:val="21"/>
        </w:trPr>
        <w:tc>
          <w:tcPr>
            <w:tcW w:w="7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9,495</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7,449</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Non-current compensation and benefits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5,453</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5,583</w:t>
            </w:r>
          </w:p>
        </w:tc>
        <w:tc>
          <w:tcPr>
            <w:tcW w:w="0" w:type="dxa"/>
            <w:vAlign w:val="bottom"/>
          </w:tcPr>
          <w:p>
            <w:pPr>
              <w:spacing w:after="0"/>
              <w:rPr>
                <w:sz w:val="1"/>
                <w:szCs w:val="1"/>
                <w:color w:val="auto"/>
              </w:rPr>
            </w:pPr>
          </w:p>
        </w:tc>
      </w:tr>
      <w:tr>
        <w:trPr>
          <w:trHeight w:val="29"/>
        </w:trPr>
        <w:tc>
          <w:tcPr>
            <w:tcW w:w="7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Deferred income taxes</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28"/>
        </w:trPr>
        <w:tc>
          <w:tcPr>
            <w:tcW w:w="7840" w:type="dxa"/>
            <w:vAlign w:val="bottom"/>
          </w:tcPr>
          <w:p>
            <w:pPr>
              <w:ind w:left="20"/>
              <w:spacing w:after="0"/>
              <w:rPr>
                <w:sz w:val="20"/>
                <w:szCs w:val="20"/>
                <w:color w:val="auto"/>
              </w:rPr>
            </w:pPr>
            <w:r>
              <w:rPr>
                <w:rFonts w:ascii="Arial" w:cs="Arial" w:eastAsia="Arial" w:hAnsi="Arial"/>
                <w:sz w:val="16"/>
                <w:szCs w:val="16"/>
                <w:color w:val="auto"/>
              </w:rPr>
              <w:t>All other non-current liabilities</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2,061</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1,796</w:t>
            </w: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liabilities</w:t>
            </w:r>
          </w:p>
        </w:tc>
        <w:tc>
          <w:tcPr>
            <w:tcW w:w="10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26,307</w:t>
            </w:r>
          </w:p>
        </w:tc>
        <w:tc>
          <w:tcPr>
            <w:tcW w:w="140" w:type="dxa"/>
            <w:vAlign w:val="bottom"/>
            <w:tcBorders>
              <w:bottom w:val="single" w:sz="8" w:color="E4E4E4"/>
            </w:tcBorders>
            <w:shd w:val="clear" w:color="auto" w:fill="E4E4E4"/>
          </w:tcPr>
          <w:p>
            <w:pPr>
              <w:spacing w:after="0"/>
              <w:rPr>
                <w:sz w:val="21"/>
                <w:szCs w:val="21"/>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24,437</w:t>
            </w:r>
          </w:p>
        </w:tc>
        <w:tc>
          <w:tcPr>
            <w:tcW w:w="0" w:type="dxa"/>
            <w:vAlign w:val="bottom"/>
          </w:tcPr>
          <w:p>
            <w:pPr>
              <w:spacing w:after="0"/>
              <w:rPr>
                <w:sz w:val="1"/>
                <w:szCs w:val="1"/>
                <w:color w:val="auto"/>
              </w:rPr>
            </w:pPr>
          </w:p>
        </w:tc>
      </w:tr>
      <w:tr>
        <w:trPr>
          <w:trHeight w:val="221"/>
        </w:trPr>
        <w:tc>
          <w:tcPr>
            <w:tcW w:w="7840" w:type="dxa"/>
            <w:vAlign w:val="bottom"/>
            <w:tcBorders>
              <w:top w:val="single" w:sz="8" w:color="auto"/>
            </w:tcBorders>
          </w:tcPr>
          <w:p>
            <w:pPr>
              <w:ind w:left="20"/>
              <w:spacing w:after="0"/>
              <w:rPr>
                <w:sz w:val="20"/>
                <w:szCs w:val="20"/>
                <w:color w:val="auto"/>
              </w:rPr>
            </w:pPr>
            <w:r>
              <w:rPr>
                <w:rFonts w:ascii="Arial" w:cs="Arial" w:eastAsia="Arial" w:hAnsi="Arial"/>
                <w:sz w:val="16"/>
                <w:szCs w:val="16"/>
                <w:i w:val="1"/>
                <w:iCs w:val="1"/>
                <w:color w:val="auto"/>
              </w:rPr>
              <w:t>Commitments and contingencies</w:t>
            </w: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7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Redeemable noncontrolling interests</w:t>
            </w:r>
          </w:p>
        </w:tc>
        <w:tc>
          <w:tcPr>
            <w:tcW w:w="10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c>
          <w:tcPr>
            <w:tcW w:w="140" w:type="dxa"/>
            <w:vAlign w:val="bottom"/>
            <w:tcBorders>
              <w:bottom w:val="single" w:sz="8" w:color="E4E4E4"/>
            </w:tcBorders>
            <w:shd w:val="clear" w:color="auto" w:fill="E4E4E4"/>
          </w:tcPr>
          <w:p>
            <w:pPr>
              <w:spacing w:after="0"/>
              <w:rPr>
                <w:sz w:val="20"/>
                <w:szCs w:val="20"/>
                <w:color w:val="auto"/>
              </w:rPr>
            </w:pPr>
          </w:p>
        </w:tc>
        <w:tc>
          <w:tcPr>
            <w:tcW w:w="1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w:t>
            </w:r>
          </w:p>
        </w:tc>
        <w:tc>
          <w:tcPr>
            <w:tcW w:w="0" w:type="dxa"/>
            <w:vAlign w:val="bottom"/>
          </w:tcPr>
          <w:p>
            <w:pPr>
              <w:spacing w:after="0"/>
              <w:rPr>
                <w:sz w:val="1"/>
                <w:szCs w:val="1"/>
                <w:color w:val="auto"/>
              </w:rPr>
            </w:pPr>
          </w:p>
        </w:tc>
      </w:tr>
      <w:tr>
        <w:trPr>
          <w:trHeight w:val="20"/>
        </w:trPr>
        <w:tc>
          <w:tcPr>
            <w:tcW w:w="7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30" w:right="359" w:bottom="1440" w:gutter="0" w:footer="0" w:header="0"/>
        </w:sectPr>
      </w:pPr>
    </w:p>
    <w:p>
      <w:pPr>
        <w:ind w:left="40" w:right="520"/>
        <w:spacing w:after="0" w:line="299" w:lineRule="auto"/>
        <w:rPr>
          <w:sz w:val="20"/>
          <w:szCs w:val="20"/>
          <w:color w:val="auto"/>
        </w:rPr>
      </w:pPr>
      <w:r>
        <w:rPr>
          <w:rFonts w:ascii="Arial" w:cs="Arial" w:eastAsia="Arial" w:hAnsi="Arial"/>
          <w:sz w:val="16"/>
          <w:szCs w:val="16"/>
          <w:color w:val="auto"/>
        </w:rPr>
        <w:t>Common stock, par value $0.01 per share, 1,000,000,000 shares authorized, 458,844,209 shares issued as of December 31, 2025; 457,246,971 shares issued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-6985</wp:posOffset>
            </wp:positionV>
            <wp:extent cx="7115175" cy="2914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ind w:left="40" w:right="480"/>
        <w:spacing w:after="0" w:line="299" w:lineRule="auto"/>
        <w:rPr>
          <w:sz w:val="20"/>
          <w:szCs w:val="20"/>
          <w:color w:val="auto"/>
        </w:rPr>
      </w:pPr>
      <w:r>
        <w:rPr>
          <w:rFonts w:ascii="Arial" w:cs="Arial" w:eastAsia="Arial" w:hAnsi="Arial"/>
          <w:sz w:val="16"/>
          <w:szCs w:val="16"/>
          <w:color w:val="auto"/>
        </w:rPr>
        <w:t>Treasury stock, at cost, 3,107,626 shares as of December 31, 2025 and 291,053 shares as of December 31, 2024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15175"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Retained earnings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Accumulated other comprehensive income (loss) – net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380"/>
        <w:spacing w:after="0"/>
        <w:tabs>
          <w:tab w:leader="none" w:pos="20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6"/>
          <w:szCs w:val="16"/>
          <w:color w:val="auto"/>
        </w:rPr>
        <w:t>5</w:t>
      </w:r>
    </w:p>
    <w:p>
      <w:pPr>
        <w:spacing w:after="0" w:line="275" w:lineRule="exact"/>
        <w:rPr>
          <w:sz w:val="20"/>
          <w:szCs w:val="20"/>
          <w:color w:val="auto"/>
        </w:rPr>
      </w:pPr>
    </w:p>
    <w:p>
      <w:pPr>
        <w:ind w:left="140"/>
        <w:spacing w:after="0"/>
        <w:tabs>
          <w:tab w:leader="none" w:pos="1900" w:val="left"/>
        </w:tabs>
        <w:rPr>
          <w:sz w:val="20"/>
          <w:szCs w:val="20"/>
          <w:color w:val="auto"/>
        </w:rPr>
      </w:pPr>
      <w:r>
        <w:rPr>
          <w:rFonts w:ascii="Arial" w:cs="Arial" w:eastAsia="Arial" w:hAnsi="Arial"/>
          <w:sz w:val="15"/>
          <w:szCs w:val="15"/>
          <w:color w:val="auto"/>
        </w:rPr>
        <w:t>(225)</w:t>
      </w:r>
      <w:r>
        <w:rPr>
          <w:sz w:val="20"/>
          <w:szCs w:val="20"/>
          <w:color w:val="auto"/>
        </w:rPr>
        <w:tab/>
      </w:r>
      <w:r>
        <w:rPr>
          <w:rFonts w:ascii="Arial" w:cs="Arial" w:eastAsia="Arial" w:hAnsi="Arial"/>
          <w:sz w:val="15"/>
          <w:szCs w:val="15"/>
          <w:color w:val="auto"/>
        </w:rPr>
        <w:t>(25)</w:t>
      </w:r>
    </w:p>
    <w:p>
      <w:pPr>
        <w:spacing w:after="0" w:line="192"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6"/>
          <w:szCs w:val="16"/>
          <w:color w:val="auto"/>
        </w:rPr>
        <w:t>6,707</w:t>
      </w:r>
      <w:r>
        <w:rPr>
          <w:sz w:val="20"/>
          <w:szCs w:val="20"/>
          <w:color w:val="auto"/>
        </w:rPr>
        <w:tab/>
      </w:r>
      <w:r>
        <w:rPr>
          <w:rFonts w:ascii="Arial" w:cs="Arial" w:eastAsia="Arial" w:hAnsi="Arial"/>
          <w:sz w:val="16"/>
          <w:szCs w:val="16"/>
          <w:color w:val="auto"/>
        </w:rPr>
        <w:t>6,583</w:t>
      </w:r>
    </w:p>
    <w:p>
      <w:pPr>
        <w:spacing w:after="0" w:line="73" w:lineRule="exact"/>
        <w:rPr>
          <w:sz w:val="20"/>
          <w:szCs w:val="20"/>
          <w:color w:val="auto"/>
        </w:rPr>
      </w:pPr>
    </w:p>
    <w:p>
      <w:pPr>
        <w:ind w:left="60"/>
        <w:spacing w:after="0"/>
        <w:tabs>
          <w:tab w:leader="none" w:pos="1720" w:val="left"/>
        </w:tabs>
        <w:rPr>
          <w:sz w:val="20"/>
          <w:szCs w:val="20"/>
          <w:color w:val="auto"/>
        </w:rPr>
      </w:pPr>
      <w:r>
        <w:rPr>
          <w:rFonts w:ascii="Arial" w:cs="Arial" w:eastAsia="Arial" w:hAnsi="Arial"/>
          <w:sz w:val="16"/>
          <w:szCs w:val="16"/>
          <w:color w:val="auto"/>
        </w:rPr>
        <w:t>5,281</w:t>
      </w:r>
      <w:r>
        <w:rPr>
          <w:sz w:val="20"/>
          <w:szCs w:val="20"/>
          <w:color w:val="auto"/>
        </w:rPr>
        <w:tab/>
      </w:r>
      <w:r>
        <w:rPr>
          <w:rFonts w:ascii="Arial" w:cs="Arial" w:eastAsia="Arial" w:hAnsi="Arial"/>
          <w:sz w:val="16"/>
          <w:szCs w:val="16"/>
          <w:color w:val="auto"/>
        </w:rPr>
        <w:t>3,262</w:t>
      </w:r>
    </w:p>
    <w:p>
      <w:pPr>
        <w:spacing w:after="0" w:line="73" w:lineRule="exact"/>
        <w:rPr>
          <w:sz w:val="20"/>
          <w:szCs w:val="20"/>
          <w:color w:val="auto"/>
        </w:rPr>
      </w:pPr>
    </w:p>
    <w:p>
      <w:pPr>
        <w:spacing w:after="0"/>
        <w:tabs>
          <w:tab w:leader="none" w:pos="1660" w:val="left"/>
        </w:tabs>
        <w:rPr>
          <w:sz w:val="20"/>
          <w:szCs w:val="20"/>
          <w:color w:val="auto"/>
        </w:rPr>
      </w:pPr>
      <w:r>
        <w:rPr>
          <w:rFonts w:ascii="Arial" w:cs="Arial" w:eastAsia="Arial" w:hAnsi="Arial"/>
          <w:sz w:val="16"/>
          <w:szCs w:val="16"/>
          <w:color w:val="auto"/>
        </w:rPr>
        <w:t>(1,388)</w:t>
      </w:r>
      <w:r>
        <w:rPr>
          <w:sz w:val="20"/>
          <w:szCs w:val="20"/>
          <w:color w:val="auto"/>
        </w:rPr>
        <w:tab/>
      </w:r>
      <w:r>
        <w:rPr>
          <w:rFonts w:ascii="Arial" w:cs="Arial" w:eastAsia="Arial" w:hAnsi="Arial"/>
          <w:sz w:val="16"/>
          <w:szCs w:val="16"/>
          <w:color w:val="auto"/>
        </w:rPr>
        <w:t>(1,379)</w:t>
      </w:r>
    </w:p>
    <w:p>
      <w:pPr>
        <w:spacing w:after="0" w:line="40" w:lineRule="exact"/>
        <w:rPr>
          <w:sz w:val="20"/>
          <w:szCs w:val="20"/>
          <w:color w:val="auto"/>
        </w:rPr>
      </w:pPr>
    </w:p>
    <w:p>
      <w:pPr>
        <w:sectPr>
          <w:pgSz w:w="11900" w:h="16838" w:orient="portrait"/>
          <w:cols w:equalWidth="0" w:num="2">
            <w:col w:w="8280" w:space="720"/>
            <w:col w:w="2220"/>
          </w:cols>
          <w:pgMar w:left="320" w:top="130" w:right="359" w:bottom="1440" w:gutter="0" w:footer="0" w:header="0"/>
          <w:type w:val="continuous"/>
        </w:sectPr>
      </w:pPr>
    </w:p>
    <w:tbl>
      <w:tblPr>
        <w:tblLayout w:type="fixed"/>
        <w:tblInd w:w="20" w:type="dxa"/>
        <w:tblCellMar>
          <w:top w:w="0" w:type="dxa"/>
          <w:left w:w="0" w:type="dxa"/>
          <w:bottom w:w="0" w:type="dxa"/>
          <w:right w:w="0" w:type="dxa"/>
        </w:tblCellMar>
      </w:tblPr>
      <w:tr>
        <w:trPr>
          <w:trHeight w:val="250"/>
        </w:trPr>
        <w:tc>
          <w:tcPr>
            <w:tcW w:w="6380" w:type="dxa"/>
            <w:vAlign w:val="bottom"/>
            <w:tcBorders>
              <w:top w:val="single" w:sz="8" w:color="auto"/>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 attributable to GE HealthCare</w:t>
            </w:r>
          </w:p>
        </w:tc>
        <w:tc>
          <w:tcPr>
            <w:tcW w:w="2060" w:type="dxa"/>
            <w:vAlign w:val="bottom"/>
            <w:tcBorders>
              <w:top w:val="single" w:sz="8" w:color="auto"/>
              <w:bottom w:val="single" w:sz="8" w:color="E4E4E4"/>
            </w:tcBorders>
            <w:shd w:val="clear" w:color="auto" w:fill="E4E4E4"/>
          </w:tcPr>
          <w:p>
            <w:pPr>
              <w:spacing w:after="0"/>
              <w:rPr>
                <w:sz w:val="21"/>
                <w:szCs w:val="21"/>
                <w:color w:val="auto"/>
              </w:rPr>
            </w:pPr>
          </w:p>
        </w:tc>
        <w:tc>
          <w:tcPr>
            <w:tcW w:w="10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10,379</w:t>
            </w:r>
          </w:p>
        </w:tc>
        <w:tc>
          <w:tcPr>
            <w:tcW w:w="640" w:type="dxa"/>
            <w:vAlign w:val="bottom"/>
            <w:tcBorders>
              <w:top w:val="single" w:sz="8" w:color="auto"/>
              <w:bottom w:val="single" w:sz="8" w:color="E4E4E4"/>
            </w:tcBorders>
            <w:shd w:val="clear" w:color="auto" w:fill="E4E4E4"/>
          </w:tcPr>
          <w:p>
            <w:pPr>
              <w:spacing w:after="0"/>
              <w:rPr>
                <w:sz w:val="21"/>
                <w:szCs w:val="21"/>
                <w:color w:val="auto"/>
              </w:rPr>
            </w:pPr>
          </w:p>
        </w:tc>
        <w:tc>
          <w:tcPr>
            <w:tcW w:w="1060" w:type="dxa"/>
            <w:vAlign w:val="bottom"/>
            <w:tcBorders>
              <w:top w:val="single" w:sz="8" w:color="auto"/>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8,446</w:t>
            </w:r>
          </w:p>
        </w:tc>
      </w:tr>
      <w:tr>
        <w:trPr>
          <w:trHeight w:val="228"/>
        </w:trPr>
        <w:tc>
          <w:tcPr>
            <w:tcW w:w="638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20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6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63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5"/>
        </w:trPr>
        <w:tc>
          <w:tcPr>
            <w:tcW w:w="6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equity</w:t>
            </w:r>
          </w:p>
        </w:tc>
        <w:tc>
          <w:tcPr>
            <w:tcW w:w="206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10,390</w:t>
            </w:r>
          </w:p>
        </w:tc>
        <w:tc>
          <w:tcPr>
            <w:tcW w:w="640" w:type="dxa"/>
            <w:vAlign w:val="bottom"/>
            <w:tcBorders>
              <w:bottom w:val="single" w:sz="8" w:color="E4E4E4"/>
            </w:tcBorders>
            <w:shd w:val="clear" w:color="auto" w:fill="E4E4E4"/>
          </w:tcPr>
          <w:p>
            <w:pPr>
              <w:spacing w:after="0"/>
              <w:rPr>
                <w:sz w:val="21"/>
                <w:szCs w:val="21"/>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8,464</w:t>
            </w:r>
          </w:p>
        </w:tc>
      </w:tr>
      <w:tr>
        <w:trPr>
          <w:trHeight w:val="229"/>
        </w:trPr>
        <w:tc>
          <w:tcPr>
            <w:tcW w:w="6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liabilities, redeemable noncontrolling interests, and equity</w:t>
            </w:r>
          </w:p>
        </w:tc>
        <w:tc>
          <w:tcPr>
            <w:tcW w:w="2060" w:type="dxa"/>
            <w:vAlign w:val="bottom"/>
            <w:tcBorders>
              <w:top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36,906</w:t>
            </w: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33,089</w:t>
            </w:r>
          </w:p>
        </w:tc>
      </w:tr>
      <w:tr>
        <w:trPr>
          <w:trHeight w:val="21"/>
        </w:trPr>
        <w:tc>
          <w:tcPr>
            <w:tcW w:w="63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20"/>
          </w:cols>
          <w:pgMar w:left="320" w:top="1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04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Changes in Equity</w:t>
            </w: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200" w:type="dxa"/>
            <w:vAlign w:val="bottom"/>
          </w:tcPr>
          <w:p>
            <w:pPr>
              <w:spacing w:after="0"/>
              <w:rPr>
                <w:sz w:val="24"/>
                <w:szCs w:val="24"/>
                <w:color w:val="auto"/>
              </w:rPr>
            </w:pPr>
          </w:p>
        </w:tc>
        <w:tc>
          <w:tcPr>
            <w:tcW w:w="2580" w:type="dxa"/>
            <w:vAlign w:val="bottom"/>
            <w:gridSpan w:val="5"/>
          </w:tcPr>
          <w:p>
            <w:pPr>
              <w:ind w:left="20"/>
              <w:spacing w:after="0"/>
              <w:rPr>
                <w:sz w:val="20"/>
                <w:szCs w:val="20"/>
                <w:color w:val="auto"/>
              </w:rPr>
            </w:pPr>
            <w:r>
              <w:rPr>
                <w:rFonts w:ascii="Arial" w:cs="Arial" w:eastAsia="Arial" w:hAnsi="Arial"/>
                <w:sz w:val="16"/>
                <w:szCs w:val="16"/>
                <w:b w:val="1"/>
                <w:bCs w:val="1"/>
                <w:color w:val="454545"/>
              </w:rPr>
              <w:t>Common stock Treasury stock</w:t>
            </w: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rPr>
              <w:t>Accumulated</w:t>
            </w:r>
          </w:p>
        </w:tc>
        <w:tc>
          <w:tcPr>
            <w:tcW w:w="180" w:type="dxa"/>
            <w:vAlign w:val="bottom"/>
          </w:tcPr>
          <w:p>
            <w:pPr>
              <w:spacing w:after="0" w:line="20" w:lineRule="exact"/>
              <w:rPr>
                <w:sz w:val="1"/>
                <w:szCs w:val="1"/>
                <w:color w:val="auto"/>
              </w:rPr>
            </w:pPr>
          </w:p>
        </w:tc>
        <w:tc>
          <w:tcPr>
            <w:tcW w:w="10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454545"/>
              </w:rPr>
              <w:t>Equity</w:t>
            </w:r>
          </w:p>
        </w:tc>
        <w:tc>
          <w:tcPr>
            <w:tcW w:w="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454545"/>
                <w:w w:val="99"/>
              </w:rPr>
              <w:t>Additional</w:t>
            </w: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center"/>
              <w:ind w:right="159"/>
              <w:spacing w:after="0" w:line="175" w:lineRule="exact"/>
              <w:rPr>
                <w:sz w:val="20"/>
                <w:szCs w:val="20"/>
                <w:color w:val="auto"/>
              </w:rPr>
            </w:pPr>
            <w:r>
              <w:rPr>
                <w:rFonts w:ascii="Arial" w:cs="Arial" w:eastAsia="Arial" w:hAnsi="Arial"/>
                <w:sz w:val="16"/>
                <w:szCs w:val="16"/>
                <w:b w:val="1"/>
                <w:bCs w:val="1"/>
                <w:color w:val="454545"/>
                <w:w w:val="99"/>
              </w:rPr>
              <w:t>other</w:t>
            </w:r>
          </w:p>
        </w:tc>
        <w:tc>
          <w:tcPr>
            <w:tcW w:w="18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0" w:type="dxa"/>
            <w:vAlign w:val="bottom"/>
            <w:gridSpan w:val="4"/>
          </w:tcPr>
          <w:p>
            <w:pPr>
              <w:ind w:left="20"/>
              <w:spacing w:after="0" w:line="175" w:lineRule="exact"/>
              <w:rPr>
                <w:sz w:val="20"/>
                <w:szCs w:val="20"/>
                <w:color w:val="auto"/>
              </w:rPr>
            </w:pPr>
            <w:r>
              <w:rPr>
                <w:rFonts w:ascii="Arial" w:cs="Arial" w:eastAsia="Arial" w:hAnsi="Arial"/>
                <w:sz w:val="16"/>
                <w:szCs w:val="16"/>
                <w:b w:val="1"/>
                <w:bCs w:val="1"/>
                <w:color w:val="454545"/>
              </w:rPr>
              <w:t>comprehensive attributable to</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258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454545"/>
              </w:rPr>
              <w:t>Shares Amount Shares Amount</w:t>
            </w:r>
          </w:p>
        </w:tc>
        <w:tc>
          <w:tcPr>
            <w:tcW w:w="700" w:type="dxa"/>
            <w:vAlign w:val="bottom"/>
          </w:tcPr>
          <w:p>
            <w:pPr>
              <w:jc w:val="center"/>
              <w:ind w:right="39"/>
              <w:spacing w:after="0" w:line="176" w:lineRule="exact"/>
              <w:rPr>
                <w:sz w:val="20"/>
                <w:szCs w:val="20"/>
                <w:color w:val="auto"/>
              </w:rPr>
            </w:pPr>
            <w:r>
              <w:rPr>
                <w:rFonts w:ascii="Arial" w:cs="Arial" w:eastAsia="Arial" w:hAnsi="Arial"/>
                <w:sz w:val="16"/>
                <w:szCs w:val="16"/>
                <w:b w:val="1"/>
                <w:bCs w:val="1"/>
                <w:color w:val="454545"/>
              </w:rPr>
              <w:t>paid-in</w:t>
            </w:r>
          </w:p>
        </w:tc>
        <w:tc>
          <w:tcPr>
            <w:tcW w:w="4040" w:type="dxa"/>
            <w:vAlign w:val="bottom"/>
            <w:gridSpan w:val="6"/>
          </w:tcPr>
          <w:p>
            <w:pPr>
              <w:ind w:left="40"/>
              <w:spacing w:after="0" w:line="176" w:lineRule="exact"/>
              <w:rPr>
                <w:sz w:val="20"/>
                <w:szCs w:val="20"/>
                <w:color w:val="auto"/>
              </w:rPr>
            </w:pPr>
            <w:r>
              <w:rPr>
                <w:rFonts w:ascii="Arial" w:cs="Arial" w:eastAsia="Arial" w:hAnsi="Arial"/>
                <w:sz w:val="16"/>
                <w:szCs w:val="16"/>
                <w:b w:val="1"/>
                <w:bCs w:val="1"/>
                <w:color w:val="454545"/>
              </w:rPr>
              <w:t>Retained Net parent income (loss) – noncontrolling</w:t>
            </w:r>
          </w:p>
        </w:tc>
        <w:tc>
          <w:tcPr>
            <w:tcW w:w="700" w:type="dxa"/>
            <w:vAlign w:val="bottom"/>
          </w:tcPr>
          <w:p>
            <w:pPr>
              <w:jc w:val="center"/>
              <w:spacing w:after="0" w:line="176" w:lineRule="exact"/>
              <w:rPr>
                <w:sz w:val="20"/>
                <w:szCs w:val="20"/>
                <w:color w:val="auto"/>
              </w:rPr>
            </w:pPr>
            <w:r>
              <w:rPr>
                <w:rFonts w:ascii="Arial" w:cs="Arial" w:eastAsia="Arial" w:hAnsi="Arial"/>
                <w:sz w:val="16"/>
                <w:szCs w:val="16"/>
                <w:b w:val="1"/>
                <w:bCs w:val="1"/>
                <w:color w:val="454545"/>
                <w:w w:val="94"/>
              </w:rPr>
              <w:t>Total</w:t>
            </w:r>
          </w:p>
        </w:tc>
        <w:tc>
          <w:tcPr>
            <w:tcW w:w="0" w:type="dxa"/>
            <w:vAlign w:val="bottom"/>
          </w:tcPr>
          <w:p>
            <w:pPr>
              <w:spacing w:after="0"/>
              <w:rPr>
                <w:sz w:val="1"/>
                <w:szCs w:val="1"/>
                <w:color w:val="auto"/>
              </w:rPr>
            </w:pPr>
          </w:p>
        </w:tc>
      </w:tr>
      <w:tr>
        <w:trPr>
          <w:trHeight w:val="239"/>
        </w:trPr>
        <w:tc>
          <w:tcPr>
            <w:tcW w:w="3200" w:type="dxa"/>
            <w:vAlign w:val="bottom"/>
            <w:tcBorders>
              <w:bottom w:val="single" w:sz="8" w:color="6400A0"/>
            </w:tcBorders>
            <w:vMerge w:val="continue"/>
          </w:tcPr>
          <w:p>
            <w:pPr>
              <w:spacing w:after="0"/>
              <w:rPr>
                <w:sz w:val="20"/>
                <w:szCs w:val="20"/>
                <w:color w:val="auto"/>
              </w:rPr>
            </w:pPr>
          </w:p>
        </w:tc>
        <w:tc>
          <w:tcPr>
            <w:tcW w:w="2580" w:type="dxa"/>
            <w:vAlign w:val="bottom"/>
            <w:tcBorders>
              <w:bottom w:val="single" w:sz="8" w:color="6400A0"/>
            </w:tcBorders>
            <w:gridSpan w:val="5"/>
            <w:vMerge w:val="continue"/>
          </w:tcPr>
          <w:p>
            <w:pPr>
              <w:spacing w:after="0"/>
              <w:rPr>
                <w:sz w:val="20"/>
                <w:szCs w:val="20"/>
                <w:color w:val="auto"/>
              </w:rPr>
            </w:pPr>
          </w:p>
        </w:tc>
        <w:tc>
          <w:tcPr>
            <w:tcW w:w="700" w:type="dxa"/>
            <w:vAlign w:val="bottom"/>
            <w:tcBorders>
              <w:bottom w:val="single" w:sz="8" w:color="6400A0"/>
            </w:tcBorders>
          </w:tcPr>
          <w:p>
            <w:pPr>
              <w:jc w:val="center"/>
              <w:ind w:right="39"/>
              <w:spacing w:after="0"/>
              <w:rPr>
                <w:sz w:val="20"/>
                <w:szCs w:val="20"/>
                <w:color w:val="auto"/>
              </w:rPr>
            </w:pPr>
            <w:r>
              <w:rPr>
                <w:rFonts w:ascii="Arial" w:cs="Arial" w:eastAsia="Arial" w:hAnsi="Arial"/>
                <w:sz w:val="16"/>
                <w:szCs w:val="16"/>
                <w:b w:val="1"/>
                <w:bCs w:val="1"/>
                <w:color w:val="454545"/>
                <w:w w:val="98"/>
              </w:rPr>
              <w:t>capital</w:t>
            </w:r>
          </w:p>
        </w:tc>
        <w:tc>
          <w:tcPr>
            <w:tcW w:w="1640" w:type="dxa"/>
            <w:vAlign w:val="bottom"/>
            <w:tcBorders>
              <w:bottom w:val="single" w:sz="8" w:color="6400A0"/>
            </w:tcBorders>
            <w:gridSpan w:val="2"/>
          </w:tcPr>
          <w:p>
            <w:pPr>
              <w:ind w:left="40"/>
              <w:spacing w:after="0"/>
              <w:rPr>
                <w:sz w:val="20"/>
                <w:szCs w:val="20"/>
                <w:color w:val="auto"/>
              </w:rPr>
            </w:pPr>
            <w:r>
              <w:rPr>
                <w:rFonts w:ascii="Arial" w:cs="Arial" w:eastAsia="Arial" w:hAnsi="Arial"/>
                <w:sz w:val="16"/>
                <w:szCs w:val="16"/>
                <w:b w:val="1"/>
                <w:bCs w:val="1"/>
                <w:color w:val="454545"/>
              </w:rPr>
              <w:t>earnings investment</w:t>
            </w:r>
          </w:p>
        </w:tc>
        <w:tc>
          <w:tcPr>
            <w:tcW w:w="260" w:type="dxa"/>
            <w:vAlign w:val="bottom"/>
            <w:tcBorders>
              <w:bottom w:val="single" w:sz="8" w:color="6400A0"/>
            </w:tcBorders>
          </w:tcPr>
          <w:p>
            <w:pPr>
              <w:spacing w:after="0"/>
              <w:rPr>
                <w:sz w:val="20"/>
                <w:szCs w:val="20"/>
                <w:color w:val="auto"/>
              </w:rPr>
            </w:pPr>
          </w:p>
        </w:tc>
        <w:tc>
          <w:tcPr>
            <w:tcW w:w="960" w:type="dxa"/>
            <w:vAlign w:val="bottom"/>
            <w:tcBorders>
              <w:bottom w:val="single" w:sz="8" w:color="6400A0"/>
            </w:tcBorders>
          </w:tcPr>
          <w:p>
            <w:pPr>
              <w:jc w:val="center"/>
              <w:ind w:right="159"/>
              <w:spacing w:after="0"/>
              <w:rPr>
                <w:sz w:val="20"/>
                <w:szCs w:val="20"/>
                <w:color w:val="auto"/>
              </w:rPr>
            </w:pPr>
            <w:r>
              <w:rPr>
                <w:rFonts w:ascii="Arial" w:cs="Arial" w:eastAsia="Arial" w:hAnsi="Arial"/>
                <w:sz w:val="16"/>
                <w:szCs w:val="16"/>
                <w:b w:val="1"/>
                <w:bCs w:val="1"/>
                <w:color w:val="454545"/>
                <w:w w:val="99"/>
              </w:rPr>
              <w:t>net</w:t>
            </w:r>
          </w:p>
        </w:tc>
        <w:tc>
          <w:tcPr>
            <w:tcW w:w="180" w:type="dxa"/>
            <w:vAlign w:val="bottom"/>
            <w:tcBorders>
              <w:bottom w:val="single" w:sz="8" w:color="6400A0"/>
            </w:tcBorders>
          </w:tcPr>
          <w:p>
            <w:pPr>
              <w:spacing w:after="0"/>
              <w:rPr>
                <w:sz w:val="20"/>
                <w:szCs w:val="20"/>
                <w:color w:val="auto"/>
              </w:rPr>
            </w:pPr>
          </w:p>
        </w:tc>
        <w:tc>
          <w:tcPr>
            <w:tcW w:w="1000" w:type="dxa"/>
            <w:vAlign w:val="bottom"/>
            <w:tcBorders>
              <w:bottom w:val="single" w:sz="8" w:color="6400A0"/>
            </w:tcBorders>
          </w:tcPr>
          <w:p>
            <w:pPr>
              <w:jc w:val="center"/>
              <w:ind w:right="99"/>
              <w:spacing w:after="0"/>
              <w:rPr>
                <w:sz w:val="20"/>
                <w:szCs w:val="20"/>
                <w:color w:val="auto"/>
              </w:rPr>
            </w:pPr>
            <w:r>
              <w:rPr>
                <w:rFonts w:ascii="Arial" w:cs="Arial" w:eastAsia="Arial" w:hAnsi="Arial"/>
                <w:sz w:val="16"/>
                <w:szCs w:val="16"/>
                <w:b w:val="1"/>
                <w:bCs w:val="1"/>
                <w:color w:val="454545"/>
                <w:w w:val="98"/>
              </w:rPr>
              <w:t>interests</w:t>
            </w:r>
          </w:p>
        </w:tc>
        <w:tc>
          <w:tcPr>
            <w:tcW w:w="700" w:type="dxa"/>
            <w:vAlign w:val="bottom"/>
            <w:tcBorders>
              <w:bottom w:val="single" w:sz="8" w:color="6400A0"/>
            </w:tcBorders>
          </w:tcPr>
          <w:p>
            <w:pPr>
              <w:jc w:val="center"/>
              <w:spacing w:after="0"/>
              <w:rPr>
                <w:sz w:val="20"/>
                <w:szCs w:val="20"/>
                <w:color w:val="auto"/>
              </w:rPr>
            </w:pPr>
            <w:r>
              <w:rPr>
                <w:rFonts w:ascii="Arial" w:cs="Arial" w:eastAsia="Arial" w:hAnsi="Arial"/>
                <w:sz w:val="16"/>
                <w:szCs w:val="16"/>
                <w:b w:val="1"/>
                <w:bCs w:val="1"/>
                <w:color w:val="454545"/>
              </w:rPr>
              <w:t>equity</w:t>
            </w:r>
          </w:p>
        </w:tc>
        <w:tc>
          <w:tcPr>
            <w:tcW w:w="0" w:type="dxa"/>
            <w:vAlign w:val="bottom"/>
          </w:tcPr>
          <w:p>
            <w:pPr>
              <w:spacing w:after="0"/>
              <w:rPr>
                <w:sz w:val="1"/>
                <w:szCs w:val="1"/>
                <w:color w:val="auto"/>
              </w:rPr>
            </w:pPr>
          </w:p>
        </w:tc>
      </w:tr>
      <w:tr>
        <w:trPr>
          <w:trHeight w:val="233"/>
        </w:trPr>
        <w:tc>
          <w:tcPr>
            <w:tcW w:w="32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Balances as of December 31, 2022</w:t>
            </w:r>
          </w:p>
        </w:tc>
        <w:tc>
          <w:tcPr>
            <w:tcW w:w="840" w:type="dxa"/>
            <w:vAlign w:val="bottom"/>
            <w:shd w:val="clear" w:color="auto" w:fill="E4E4E4"/>
          </w:tcPr>
          <w:p>
            <w:pPr>
              <w:ind w:left="340"/>
              <w:spacing w:after="0"/>
              <w:rPr>
                <w:sz w:val="20"/>
                <w:szCs w:val="20"/>
                <w:color w:val="auto"/>
              </w:rPr>
            </w:pPr>
            <w:r>
              <w:rPr>
                <w:rFonts w:ascii="Arial" w:cs="Arial" w:eastAsia="Arial" w:hAnsi="Arial"/>
                <w:sz w:val="16"/>
                <w:szCs w:val="16"/>
                <w:b w:val="1"/>
                <w:bCs w:val="1"/>
                <w:color w:val="auto"/>
              </w:rPr>
              <w:t>— $</w:t>
            </w:r>
          </w:p>
        </w:tc>
        <w:tc>
          <w:tcPr>
            <w:tcW w:w="520" w:type="dxa"/>
            <w:vAlign w:val="bottom"/>
            <w:shd w:val="clear" w:color="auto" w:fill="E4E4E4"/>
          </w:tcPr>
          <w:p>
            <w:pPr>
              <w:ind w:left="140"/>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E4E4E4"/>
          </w:tcPr>
          <w:p>
            <w:pPr>
              <w:ind w:left="200"/>
              <w:spacing w:after="0"/>
              <w:rPr>
                <w:sz w:val="20"/>
                <w:szCs w:val="20"/>
                <w:color w:val="auto"/>
              </w:rPr>
            </w:pPr>
            <w:r>
              <w:rPr>
                <w:rFonts w:ascii="Arial" w:cs="Arial" w:eastAsia="Arial" w:hAnsi="Arial"/>
                <w:sz w:val="16"/>
                <w:szCs w:val="16"/>
                <w:b w:val="1"/>
                <w:bCs w:val="1"/>
                <w:color w:val="auto"/>
              </w:rPr>
              <w:t>— $</w:t>
            </w:r>
          </w:p>
        </w:tc>
        <w:tc>
          <w:tcPr>
            <w:tcW w:w="520" w:type="dxa"/>
            <w:vAlign w:val="bottom"/>
            <w:gridSpan w:val="2"/>
            <w:shd w:val="clear" w:color="auto" w:fill="E4E4E4"/>
          </w:tcPr>
          <w:p>
            <w:pPr>
              <w:ind w:left="160"/>
              <w:spacing w:after="0"/>
              <w:rPr>
                <w:sz w:val="20"/>
                <w:szCs w:val="20"/>
                <w:color w:val="auto"/>
              </w:rPr>
            </w:pPr>
            <w:r>
              <w:rPr>
                <w:rFonts w:ascii="Arial" w:cs="Arial" w:eastAsia="Arial" w:hAnsi="Arial"/>
                <w:sz w:val="16"/>
                <w:szCs w:val="16"/>
                <w:b w:val="1"/>
                <w:bCs w:val="1"/>
                <w:color w:val="auto"/>
              </w:rPr>
              <w:t>— $</w:t>
            </w:r>
          </w:p>
        </w:tc>
        <w:tc>
          <w:tcPr>
            <w:tcW w:w="1000" w:type="dxa"/>
            <w:vAlign w:val="bottom"/>
            <w:gridSpan w:val="2"/>
            <w:shd w:val="clear" w:color="auto" w:fill="E4E4E4"/>
          </w:tcPr>
          <w:p>
            <w:pPr>
              <w:ind w:left="480"/>
              <w:spacing w:after="0"/>
              <w:rPr>
                <w:sz w:val="20"/>
                <w:szCs w:val="20"/>
                <w:color w:val="auto"/>
              </w:rPr>
            </w:pPr>
            <w:r>
              <w:rPr>
                <w:rFonts w:ascii="Arial" w:cs="Arial" w:eastAsia="Arial" w:hAnsi="Arial"/>
                <w:sz w:val="16"/>
                <w:szCs w:val="16"/>
                <w:b w:val="1"/>
                <w:bCs w:val="1"/>
                <w:color w:val="auto"/>
              </w:rPr>
              <w:t>— $</w:t>
            </w:r>
          </w:p>
        </w:tc>
        <w:tc>
          <w:tcPr>
            <w:tcW w:w="1340" w:type="dxa"/>
            <w:vAlign w:val="bottom"/>
            <w:shd w:val="clear" w:color="auto" w:fill="E4E4E4"/>
          </w:tcPr>
          <w:p>
            <w:pPr>
              <w:ind w:left="200"/>
              <w:spacing w:after="0"/>
              <w:rPr>
                <w:sz w:val="20"/>
                <w:szCs w:val="20"/>
                <w:color w:val="auto"/>
              </w:rPr>
            </w:pPr>
            <w:r>
              <w:rPr>
                <w:rFonts w:ascii="Arial" w:cs="Arial" w:eastAsia="Arial" w:hAnsi="Arial"/>
                <w:sz w:val="16"/>
                <w:szCs w:val="16"/>
                <w:b w:val="1"/>
                <w:bCs w:val="1"/>
                <w:color w:val="auto"/>
              </w:rPr>
              <w:t>— $   11,235</w:t>
            </w:r>
          </w:p>
        </w:tc>
        <w:tc>
          <w:tcPr>
            <w:tcW w:w="2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700" w:type="dxa"/>
            <w:vAlign w:val="bottom"/>
            <w:shd w:val="clear" w:color="auto" w:fill="E4E4E4"/>
          </w:tcPr>
          <w:p>
            <w:pPr>
              <w:jc w:val="right"/>
              <w:spacing w:after="0"/>
              <w:rPr>
                <w:sz w:val="20"/>
                <w:szCs w:val="20"/>
                <w:color w:val="auto"/>
              </w:rPr>
            </w:pPr>
            <w:r>
              <w:rPr>
                <w:rFonts w:ascii="Arial" w:cs="Arial" w:eastAsia="Arial" w:hAnsi="Arial"/>
                <w:sz w:val="16"/>
                <w:szCs w:val="16"/>
                <w:b w:val="1"/>
                <w:bCs w:val="1"/>
                <w:color w:val="auto"/>
              </w:rPr>
              <w:t>$  9,362</w:t>
            </w:r>
          </w:p>
        </w:tc>
        <w:tc>
          <w:tcPr>
            <w:tcW w:w="0" w:type="dxa"/>
            <w:vAlign w:val="bottom"/>
          </w:tcPr>
          <w:p>
            <w:pPr>
              <w:spacing w:after="0"/>
              <w:rPr>
                <w:sz w:val="1"/>
                <w:szCs w:val="1"/>
                <w:color w:val="auto"/>
              </w:rPr>
            </w:pPr>
          </w:p>
        </w:tc>
      </w:tr>
      <w:tr>
        <w:trPr>
          <w:trHeight w:val="21"/>
        </w:trPr>
        <w:tc>
          <w:tcPr>
            <w:tcW w:w="3200" w:type="dxa"/>
            <w:vAlign w:val="bottom"/>
            <w:shd w:val="clear" w:color="auto" w:fill="E4E4E4"/>
          </w:tcPr>
          <w:p>
            <w:pPr>
              <w:spacing w:after="0" w:line="20" w:lineRule="exact"/>
              <w:rPr>
                <w:sz w:val="1"/>
                <w:szCs w:val="1"/>
                <w:color w:val="auto"/>
              </w:rPr>
            </w:pPr>
          </w:p>
        </w:tc>
        <w:tc>
          <w:tcPr>
            <w:tcW w:w="840" w:type="dxa"/>
            <w:vAlign w:val="bottom"/>
            <w:shd w:val="clear" w:color="auto" w:fill="E4E4E4"/>
          </w:tcPr>
          <w:p>
            <w:pPr>
              <w:spacing w:after="0" w:line="20" w:lineRule="exact"/>
              <w:rPr>
                <w:sz w:val="1"/>
                <w:szCs w:val="1"/>
                <w:color w:val="auto"/>
              </w:rPr>
            </w:pPr>
          </w:p>
        </w:tc>
        <w:tc>
          <w:tcPr>
            <w:tcW w:w="520" w:type="dxa"/>
            <w:vAlign w:val="bottom"/>
            <w:shd w:val="clear" w:color="auto" w:fill="E4E4E4"/>
          </w:tcPr>
          <w:p>
            <w:pPr>
              <w:spacing w:after="0" w:line="20" w:lineRule="exact"/>
              <w:rPr>
                <w:sz w:val="1"/>
                <w:szCs w:val="1"/>
                <w:color w:val="auto"/>
              </w:rPr>
            </w:pPr>
          </w:p>
        </w:tc>
        <w:tc>
          <w:tcPr>
            <w:tcW w:w="700" w:type="dxa"/>
            <w:vAlign w:val="bottom"/>
            <w:shd w:val="clear" w:color="auto" w:fill="E4E4E4"/>
          </w:tcPr>
          <w:p>
            <w:pPr>
              <w:spacing w:after="0" w:line="20" w:lineRule="exact"/>
              <w:rPr>
                <w:sz w:val="1"/>
                <w:szCs w:val="1"/>
                <w:color w:val="auto"/>
              </w:rPr>
            </w:pPr>
          </w:p>
        </w:tc>
        <w:tc>
          <w:tcPr>
            <w:tcW w:w="400" w:type="dxa"/>
            <w:vAlign w:val="bottom"/>
            <w:shd w:val="clear" w:color="auto" w:fill="E4E4E4"/>
          </w:tcPr>
          <w:p>
            <w:pPr>
              <w:spacing w:after="0" w:line="20" w:lineRule="exact"/>
              <w:rPr>
                <w:sz w:val="1"/>
                <w:szCs w:val="1"/>
                <w:color w:val="auto"/>
              </w:rPr>
            </w:pPr>
          </w:p>
        </w:tc>
        <w:tc>
          <w:tcPr>
            <w:tcW w:w="120" w:type="dxa"/>
            <w:vAlign w:val="bottom"/>
            <w:shd w:val="clear" w:color="auto" w:fill="E4E4E4"/>
          </w:tcPr>
          <w:p>
            <w:pPr>
              <w:spacing w:after="0" w:line="20" w:lineRule="exact"/>
              <w:rPr>
                <w:sz w:val="1"/>
                <w:szCs w:val="1"/>
                <w:color w:val="auto"/>
              </w:rPr>
            </w:pPr>
          </w:p>
        </w:tc>
        <w:tc>
          <w:tcPr>
            <w:tcW w:w="700" w:type="dxa"/>
            <w:vAlign w:val="bottom"/>
            <w:shd w:val="clear" w:color="auto" w:fill="E4E4E4"/>
          </w:tcPr>
          <w:p>
            <w:pPr>
              <w:spacing w:after="0" w:line="20" w:lineRule="exact"/>
              <w:rPr>
                <w:sz w:val="1"/>
                <w:szCs w:val="1"/>
                <w:color w:val="auto"/>
              </w:rPr>
            </w:pPr>
          </w:p>
        </w:tc>
        <w:tc>
          <w:tcPr>
            <w:tcW w:w="300" w:type="dxa"/>
            <w:vAlign w:val="bottom"/>
            <w:shd w:val="clear" w:color="auto" w:fill="E4E4E4"/>
          </w:tcPr>
          <w:p>
            <w:pPr>
              <w:spacing w:after="0" w:line="20" w:lineRule="exact"/>
              <w:rPr>
                <w:sz w:val="1"/>
                <w:szCs w:val="1"/>
                <w:color w:val="auto"/>
              </w:rPr>
            </w:pPr>
          </w:p>
        </w:tc>
        <w:tc>
          <w:tcPr>
            <w:tcW w:w="1340" w:type="dxa"/>
            <w:vAlign w:val="bottom"/>
            <w:shd w:val="clear" w:color="auto" w:fill="E4E4E4"/>
          </w:tcPr>
          <w:p>
            <w:pPr>
              <w:spacing w:after="0" w:line="20" w:lineRule="exact"/>
              <w:rPr>
                <w:sz w:val="1"/>
                <w:szCs w:val="1"/>
                <w:color w:val="auto"/>
              </w:rPr>
            </w:pPr>
          </w:p>
        </w:tc>
        <w:tc>
          <w:tcPr>
            <w:tcW w:w="260" w:type="dxa"/>
            <w:vAlign w:val="bottom"/>
            <w:shd w:val="clear" w:color="auto" w:fill="E4E4E4"/>
          </w:tcPr>
          <w:p>
            <w:pPr>
              <w:spacing w:after="0" w:line="20" w:lineRule="exact"/>
              <w:rPr>
                <w:sz w:val="1"/>
                <w:szCs w:val="1"/>
                <w:color w:val="auto"/>
              </w:rPr>
            </w:pPr>
          </w:p>
        </w:tc>
        <w:tc>
          <w:tcPr>
            <w:tcW w:w="960" w:type="dxa"/>
            <w:vAlign w:val="bottom"/>
            <w:shd w:val="clear" w:color="auto" w:fill="E4E4E4"/>
          </w:tcPr>
          <w:p>
            <w:pPr>
              <w:spacing w:after="0" w:line="20" w:lineRule="exact"/>
              <w:rPr>
                <w:sz w:val="1"/>
                <w:szCs w:val="1"/>
                <w:color w:val="auto"/>
              </w:rPr>
            </w:pPr>
          </w:p>
        </w:tc>
        <w:tc>
          <w:tcPr>
            <w:tcW w:w="180" w:type="dxa"/>
            <w:vAlign w:val="bottom"/>
            <w:shd w:val="clear" w:color="auto" w:fill="E4E4E4"/>
          </w:tcPr>
          <w:p>
            <w:pPr>
              <w:spacing w:after="0" w:line="20" w:lineRule="exact"/>
              <w:rPr>
                <w:sz w:val="1"/>
                <w:szCs w:val="1"/>
                <w:color w:val="auto"/>
              </w:rPr>
            </w:pPr>
          </w:p>
        </w:tc>
        <w:tc>
          <w:tcPr>
            <w:tcW w:w="1000" w:type="dxa"/>
            <w:vAlign w:val="bottom"/>
            <w:shd w:val="clear" w:color="auto" w:fill="E4E4E4"/>
          </w:tcPr>
          <w:p>
            <w:pPr>
              <w:spacing w:after="0" w:line="20" w:lineRule="exact"/>
              <w:rPr>
                <w:sz w:val="1"/>
                <w:szCs w:val="1"/>
                <w:color w:val="auto"/>
              </w:rPr>
            </w:pPr>
          </w:p>
        </w:tc>
        <w:tc>
          <w:tcPr>
            <w:tcW w:w="700" w:type="dxa"/>
            <w:vAlign w:val="bottom"/>
            <w:shd w:val="clear" w:color="auto" w:fill="E4E4E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30" w:right="339" w:bottom="1440" w:gutter="0" w:footer="0" w:header="0"/>
        </w:sectPr>
      </w:pPr>
    </w:p>
    <w:p>
      <w:pPr>
        <w:ind w:left="40" w:right="80"/>
        <w:spacing w:after="0" w:line="299" w:lineRule="auto"/>
        <w:rPr>
          <w:sz w:val="20"/>
          <w:szCs w:val="20"/>
          <w:color w:val="auto"/>
        </w:rPr>
      </w:pPr>
      <w:r>
        <w:rPr>
          <w:rFonts w:ascii="Arial" w:cs="Arial" w:eastAsia="Arial" w:hAnsi="Arial"/>
          <w:sz w:val="16"/>
          <w:szCs w:val="16"/>
          <w:color w:val="auto"/>
        </w:rPr>
        <w:t>Net transfers from GE, including Spin-Off-related adjustments</w:t>
      </w:r>
    </w:p>
    <w:p>
      <w:pPr>
        <w:spacing w:after="0" w:line="1" w:lineRule="exact"/>
        <w:rPr>
          <w:sz w:val="20"/>
          <w:szCs w:val="20"/>
          <w:color w:val="auto"/>
        </w:rPr>
      </w:pPr>
    </w:p>
    <w:p>
      <w:pPr>
        <w:ind w:left="40"/>
        <w:spacing w:after="0" w:line="284" w:lineRule="auto"/>
        <w:rPr>
          <w:sz w:val="20"/>
          <w:szCs w:val="20"/>
          <w:color w:val="auto"/>
        </w:rPr>
      </w:pPr>
      <w:r>
        <w:rPr>
          <w:rFonts w:ascii="Arial" w:cs="Arial" w:eastAsia="Arial" w:hAnsi="Arial"/>
          <w:sz w:val="16"/>
          <w:szCs w:val="16"/>
          <w:color w:val="auto"/>
        </w:rPr>
        <w:t>Issuance of common stock in connection with the Spin-Off and reclassification of net parent investment</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5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620" w:type="dxa"/>
            <w:vAlign w:val="bottom"/>
          </w:tcPr>
          <w:p>
            <w:pPr>
              <w:ind w:left="200"/>
              <w:spacing w:after="0"/>
              <w:rPr>
                <w:sz w:val="20"/>
                <w:szCs w:val="20"/>
                <w:color w:val="auto"/>
              </w:rPr>
            </w:pPr>
            <w:r>
              <w:rPr>
                <w:rFonts w:ascii="Arial" w:cs="Arial" w:eastAsia="Arial" w:hAnsi="Arial"/>
                <w:sz w:val="16"/>
                <w:szCs w:val="16"/>
                <w:color w:val="auto"/>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660" w:type="dxa"/>
            <w:vAlign w:val="bottom"/>
          </w:tcPr>
          <w:p>
            <w:pPr>
              <w:ind w:left="2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(4,851)</w:t>
            </w:r>
          </w:p>
        </w:tc>
        <w:tc>
          <w:tcPr>
            <w:tcW w:w="1300" w:type="dxa"/>
            <w:vAlign w:val="bottom"/>
          </w:tcPr>
          <w:p>
            <w:pPr>
              <w:jc w:val="right"/>
              <w:ind w:right="419"/>
              <w:spacing w:after="0"/>
              <w:rPr>
                <w:sz w:val="20"/>
                <w:szCs w:val="20"/>
                <w:color w:val="auto"/>
              </w:rPr>
            </w:pPr>
            <w:r>
              <w:rPr>
                <w:rFonts w:ascii="Arial" w:cs="Arial" w:eastAsia="Arial" w:hAnsi="Arial"/>
                <w:sz w:val="16"/>
                <w:szCs w:val="16"/>
                <w:color w:val="auto"/>
              </w:rPr>
              <w:t>2,000</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620" w:type="dxa"/>
            <w:vAlign w:val="bottom"/>
          </w:tcPr>
          <w:p>
            <w:pPr>
              <w:jc w:val="right"/>
              <w:spacing w:after="0"/>
              <w:rPr>
                <w:sz w:val="20"/>
                <w:szCs w:val="20"/>
                <w:color w:val="auto"/>
              </w:rPr>
            </w:pPr>
            <w:r>
              <w:rPr>
                <w:rFonts w:ascii="Arial" w:cs="Arial" w:eastAsia="Arial" w:hAnsi="Arial"/>
                <w:sz w:val="16"/>
                <w:szCs w:val="16"/>
                <w:color w:val="auto"/>
              </w:rPr>
              <w:t>(2,849)</w:t>
            </w:r>
          </w:p>
        </w:tc>
      </w:tr>
      <w:tr>
        <w:trPr>
          <w:trHeight w:val="567"/>
        </w:trPr>
        <w:tc>
          <w:tcPr>
            <w:tcW w:w="500" w:type="dxa"/>
            <w:vAlign w:val="bottom"/>
          </w:tcPr>
          <w:p>
            <w:pPr>
              <w:jc w:val="right"/>
              <w:ind w:right="159"/>
              <w:spacing w:after="0"/>
              <w:rPr>
                <w:sz w:val="20"/>
                <w:szCs w:val="20"/>
                <w:color w:val="auto"/>
              </w:rPr>
            </w:pPr>
            <w:r>
              <w:rPr>
                <w:rFonts w:ascii="Arial" w:cs="Arial" w:eastAsia="Arial" w:hAnsi="Arial"/>
                <w:sz w:val="16"/>
                <w:szCs w:val="16"/>
                <w:color w:val="auto"/>
                <w:w w:val="89"/>
              </w:rPr>
              <w:t>454</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5</w:t>
            </w:r>
          </w:p>
        </w:tc>
        <w:tc>
          <w:tcPr>
            <w:tcW w:w="620" w:type="dxa"/>
            <w:vAlign w:val="bottom"/>
          </w:tcPr>
          <w:p>
            <w:pPr>
              <w:ind w:left="200"/>
              <w:spacing w:after="0"/>
              <w:rPr>
                <w:sz w:val="20"/>
                <w:szCs w:val="20"/>
                <w:color w:val="auto"/>
              </w:rPr>
            </w:pPr>
            <w:r>
              <w:rPr>
                <w:rFonts w:ascii="Arial" w:cs="Arial" w:eastAsia="Arial" w:hAnsi="Arial"/>
                <w:sz w:val="16"/>
                <w:szCs w:val="16"/>
                <w:color w:val="auto"/>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6,379</w:t>
            </w:r>
          </w:p>
        </w:tc>
        <w:tc>
          <w:tcPr>
            <w:tcW w:w="660" w:type="dxa"/>
            <w:vAlign w:val="bottom"/>
          </w:tcPr>
          <w:p>
            <w:pPr>
              <w:ind w:left="28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99"/>
              <w:spacing w:after="0"/>
              <w:rPr>
                <w:sz w:val="20"/>
                <w:szCs w:val="20"/>
                <w:color w:val="auto"/>
              </w:rPr>
            </w:pPr>
            <w:r>
              <w:rPr>
                <w:rFonts w:ascii="Arial" w:cs="Arial" w:eastAsia="Arial" w:hAnsi="Arial"/>
                <w:sz w:val="16"/>
                <w:szCs w:val="16"/>
                <w:color w:val="auto"/>
              </w:rPr>
              <w:t>(6,384)</w:t>
            </w:r>
          </w:p>
        </w:tc>
        <w:tc>
          <w:tcPr>
            <w:tcW w:w="130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-272415</wp:posOffset>
            </wp:positionV>
            <wp:extent cx="7123430" cy="4203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23430" cy="420370"/>
                    </a:xfrm>
                    <a:prstGeom prst="rect">
                      <a:avLst/>
                    </a:prstGeom>
                    <a:noFill/>
                  </pic:spPr>
                </pic:pic>
              </a:graphicData>
            </a:graphic>
          </wp:anchor>
        </w:drawing>
      </w:r>
    </w:p>
    <w:p>
      <w:pPr>
        <w:spacing w:after="0" w:line="244" w:lineRule="exact"/>
        <w:rPr>
          <w:sz w:val="20"/>
          <w:szCs w:val="20"/>
          <w:color w:val="auto"/>
        </w:rPr>
      </w:pPr>
    </w:p>
    <w:p>
      <w:pPr>
        <w:sectPr>
          <w:pgSz w:w="11900" w:h="16838" w:orient="portrait"/>
          <w:cols w:equalWidth="0" w:num="2">
            <w:col w:w="3100" w:space="360"/>
            <w:col w:w="7780"/>
          </w:cols>
          <w:pgMar w:left="320" w:top="130" w:right="339" w:bottom="1440" w:gutter="0" w:footer="0" w:header="0"/>
          <w:type w:val="continuous"/>
        </w:sectPr>
      </w:pPr>
    </w:p>
    <w:p>
      <w:pPr>
        <w:ind w:left="40" w:right="12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right="260"/>
        <w:spacing w:after="0" w:line="299" w:lineRule="auto"/>
        <w:rPr>
          <w:sz w:val="20"/>
          <w:szCs w:val="20"/>
          <w:color w:val="auto"/>
        </w:rPr>
      </w:pPr>
      <w:r>
        <w:rPr>
          <w:rFonts w:ascii="Arial" w:cs="Arial" w:eastAsia="Arial" w:hAnsi="Arial"/>
          <w:sz w:val="16"/>
          <w:szCs w:val="16"/>
          <w:color w:val="auto"/>
        </w:rPr>
        <w:t>Dividends declared ($0.12 per common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7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73" w:lineRule="exact"/>
        <w:rPr>
          <w:sz w:val="20"/>
          <w:szCs w:val="20"/>
          <w:color w:val="auto"/>
        </w:rPr>
      </w:pPr>
    </w:p>
    <w:p>
      <w:pPr>
        <w:jc w:val="both"/>
        <w:ind w:left="40"/>
        <w:spacing w:after="0" w:line="284" w:lineRule="auto"/>
        <w:rPr>
          <w:sz w:val="20"/>
          <w:szCs w:val="20"/>
          <w:color w:val="auto"/>
        </w:rPr>
      </w:pPr>
      <w:r>
        <w:rPr>
          <w:rFonts w:ascii="Arial" w:cs="Arial" w:eastAsia="Arial" w:hAnsi="Arial"/>
          <w:sz w:val="16"/>
          <w:szCs w:val="16"/>
          <w:color w:val="auto"/>
        </w:rPr>
        <w:t>Changes in equity due to redemption value adjustments on redeemable noncontrolling interests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jc w:val="right"/>
              <w:ind w:right="159"/>
              <w:spacing w:after="0"/>
              <w:rPr>
                <w:sz w:val="20"/>
                <w:szCs w:val="20"/>
                <w:color w:val="auto"/>
              </w:rPr>
            </w:pPr>
            <w:r>
              <w:rPr>
                <w:rFonts w:ascii="Arial" w:cs="Arial" w:eastAsia="Arial" w:hAnsi="Arial"/>
                <w:sz w:val="16"/>
                <w:szCs w:val="16"/>
                <w:color w:val="auto"/>
              </w:rPr>
              <w:t>1</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62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ind w:left="2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64"/>
        </w:trPr>
        <w:tc>
          <w:tcPr>
            <w:tcW w:w="400" w:type="dxa"/>
            <w:vAlign w:val="bottom"/>
          </w:tcPr>
          <w:p>
            <w:pPr>
              <w:jc w:val="right"/>
              <w:ind w:right="159"/>
              <w:spacing w:after="0"/>
              <w:rPr>
                <w:sz w:val="20"/>
                <w:szCs w:val="20"/>
                <w:color w:val="auto"/>
              </w:rPr>
            </w:pPr>
            <w:r>
              <w:rPr>
                <w:rFonts w:ascii="Arial" w:cs="Arial" w:eastAsia="Arial" w:hAnsi="Arial"/>
                <w:sz w:val="16"/>
                <w:szCs w:val="16"/>
                <w:color w:val="auto"/>
                <w:w w:val="87"/>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62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ind w:left="2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1,568</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1,568</w:t>
            </w:r>
          </w:p>
        </w:tc>
      </w:tr>
      <w:tr>
        <w:trPr>
          <w:trHeight w:val="351"/>
        </w:trPr>
        <w:tc>
          <w:tcPr>
            <w:tcW w:w="400" w:type="dxa"/>
            <w:vAlign w:val="bottom"/>
          </w:tcPr>
          <w:p>
            <w:pPr>
              <w:jc w:val="right"/>
              <w:ind w:right="159"/>
              <w:spacing w:after="0"/>
              <w:rPr>
                <w:sz w:val="20"/>
                <w:szCs w:val="20"/>
                <w:color w:val="auto"/>
              </w:rPr>
            </w:pPr>
            <w:r>
              <w:rPr>
                <w:rFonts w:ascii="Arial" w:cs="Arial" w:eastAsia="Arial" w:hAnsi="Arial"/>
                <w:sz w:val="16"/>
                <w:szCs w:val="16"/>
                <w:color w:val="auto"/>
                <w:w w:val="87"/>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62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ind w:left="2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(55)</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459"/>
        </w:trPr>
        <w:tc>
          <w:tcPr>
            <w:tcW w:w="400" w:type="dxa"/>
            <w:vAlign w:val="bottom"/>
          </w:tcPr>
          <w:p>
            <w:pPr>
              <w:jc w:val="right"/>
              <w:ind w:right="159"/>
              <w:spacing w:after="0"/>
              <w:rPr>
                <w:sz w:val="20"/>
                <w:szCs w:val="20"/>
                <w:color w:val="auto"/>
              </w:rPr>
            </w:pPr>
            <w:r>
              <w:rPr>
                <w:rFonts w:ascii="Arial" w:cs="Arial" w:eastAsia="Arial" w:hAnsi="Arial"/>
                <w:sz w:val="16"/>
                <w:szCs w:val="16"/>
                <w:color w:val="auto"/>
                <w:w w:val="87"/>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62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ind w:left="2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440"/>
              <w:spacing w:after="0"/>
              <w:rPr>
                <w:sz w:val="20"/>
                <w:szCs w:val="20"/>
                <w:color w:val="auto"/>
              </w:rPr>
            </w:pPr>
            <w:r>
              <w:rPr>
                <w:rFonts w:ascii="Arial" w:cs="Arial" w:eastAsia="Arial" w:hAnsi="Arial"/>
                <w:sz w:val="16"/>
                <w:szCs w:val="16"/>
                <w:color w:val="auto"/>
              </w:rPr>
              <w:t>(813)</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(813)</w:t>
            </w:r>
          </w:p>
        </w:tc>
      </w:tr>
      <w:tr>
        <w:trPr>
          <w:trHeight w:val="459"/>
        </w:trPr>
        <w:tc>
          <w:tcPr>
            <w:tcW w:w="400" w:type="dxa"/>
            <w:vAlign w:val="bottom"/>
          </w:tcPr>
          <w:p>
            <w:pPr>
              <w:jc w:val="right"/>
              <w:ind w:right="159"/>
              <w:spacing w:after="0"/>
              <w:rPr>
                <w:sz w:val="20"/>
                <w:szCs w:val="20"/>
                <w:color w:val="auto"/>
              </w:rPr>
            </w:pPr>
            <w:r>
              <w:rPr>
                <w:rFonts w:ascii="Arial" w:cs="Arial" w:eastAsia="Arial" w:hAnsi="Arial"/>
                <w:sz w:val="16"/>
                <w:szCs w:val="16"/>
                <w:color w:val="auto"/>
                <w:w w:val="87"/>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62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ind w:left="2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6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64"/>
        </w:trPr>
        <w:tc>
          <w:tcPr>
            <w:tcW w:w="400" w:type="dxa"/>
            <w:vAlign w:val="bottom"/>
          </w:tcPr>
          <w:p>
            <w:pPr>
              <w:jc w:val="right"/>
              <w:ind w:right="159"/>
              <w:spacing w:after="0"/>
              <w:rPr>
                <w:sz w:val="20"/>
                <w:szCs w:val="20"/>
                <w:color w:val="auto"/>
              </w:rPr>
            </w:pPr>
            <w:r>
              <w:rPr>
                <w:rFonts w:ascii="Arial" w:cs="Arial" w:eastAsia="Arial" w:hAnsi="Arial"/>
                <w:sz w:val="16"/>
                <w:szCs w:val="16"/>
                <w:color w:val="auto"/>
                <w:w w:val="87"/>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62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ind w:left="2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114</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459"/>
        </w:trPr>
        <w:tc>
          <w:tcPr>
            <w:tcW w:w="400" w:type="dxa"/>
            <w:vAlign w:val="bottom"/>
          </w:tcPr>
          <w:p>
            <w:pPr>
              <w:jc w:val="right"/>
              <w:ind w:right="159"/>
              <w:spacing w:after="0"/>
              <w:rPr>
                <w:sz w:val="20"/>
                <w:szCs w:val="20"/>
                <w:color w:val="auto"/>
              </w:rPr>
            </w:pPr>
            <w:r>
              <w:rPr>
                <w:rFonts w:ascii="Arial" w:cs="Arial" w:eastAsia="Arial" w:hAnsi="Arial"/>
                <w:sz w:val="16"/>
                <w:szCs w:val="16"/>
                <w:color w:val="auto"/>
                <w:w w:val="87"/>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620" w:type="dxa"/>
            <w:vAlign w:val="bottom"/>
          </w:tcPr>
          <w:p>
            <w:pPr>
              <w:ind w:left="200"/>
              <w:spacing w:after="0"/>
              <w:rPr>
                <w:sz w:val="20"/>
                <w:szCs w:val="20"/>
                <w:color w:val="auto"/>
              </w:rPr>
            </w:pPr>
            <w:r>
              <w:rPr>
                <w:rFonts w:ascii="Arial" w:cs="Arial" w:eastAsia="Arial" w:hAnsi="Arial"/>
                <w:sz w:val="16"/>
                <w:szCs w:val="16"/>
                <w:color w:val="auto"/>
              </w:rPr>
              <w:t>—</w:t>
            </w:r>
          </w:p>
        </w:tc>
        <w:tc>
          <w:tcPr>
            <w:tcW w:w="680" w:type="dxa"/>
            <w:vAlign w:val="bottom"/>
          </w:tcPr>
          <w:p>
            <w:pPr>
              <w:ind w:left="24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(187)</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-1472565</wp:posOffset>
            </wp:positionV>
            <wp:extent cx="712343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23430" cy="16319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-1018540</wp:posOffset>
            </wp:positionV>
            <wp:extent cx="7123430" cy="29146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23430" cy="29146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-435610</wp:posOffset>
            </wp:positionV>
            <wp:extent cx="712343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23430" cy="16319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146685</wp:posOffset>
            </wp:positionV>
            <wp:extent cx="712343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3120" w:space="440"/>
            <w:col w:w="7680"/>
          </w:cols>
          <w:pgMar w:left="320" w:top="130" w:right="339" w:bottom="1440" w:gutter="0" w:footer="0" w:header="0"/>
          <w:type w:val="continuous"/>
        </w:sectPr>
      </w:pPr>
    </w:p>
    <w:p>
      <w:pPr>
        <w:ind w:left="40"/>
        <w:spacing w:after="0"/>
        <w:tabs>
          <w:tab w:leader="none" w:pos="3440" w:val="left"/>
          <w:tab w:leader="none" w:pos="4260" w:val="left"/>
          <w:tab w:leader="none" w:pos="4760" w:val="left"/>
          <w:tab w:leader="none" w:pos="5420" w:val="left"/>
          <w:tab w:leader="none" w:pos="6020" w:val="left"/>
          <w:tab w:leader="none" w:pos="6740" w:val="left"/>
          <w:tab w:leader="none" w:pos="7880" w:val="left"/>
          <w:tab w:leader="none" w:pos="8940" w:val="left"/>
          <w:tab w:leader="none" w:pos="10260" w:val="left"/>
          <w:tab w:leader="none" w:pos="10740" w:val="left"/>
        </w:tabs>
        <w:rPr>
          <w:sz w:val="20"/>
          <w:szCs w:val="20"/>
          <w:color w:val="auto"/>
        </w:rPr>
      </w:pPr>
      <w:r>
        <w:rPr>
          <w:rFonts w:ascii="Arial" w:cs="Arial" w:eastAsia="Arial" w:hAnsi="Arial"/>
          <w:sz w:val="16"/>
          <w:szCs w:val="16"/>
          <w:b w:val="1"/>
          <w:bCs w:val="1"/>
          <w:color w:val="auto"/>
        </w:rPr>
        <w:t>Balances as of December 31, 2023</w:t>
      </w:r>
      <w:r>
        <w:rPr>
          <w:sz w:val="20"/>
          <w:szCs w:val="20"/>
          <w:color w:val="auto"/>
        </w:rPr>
        <w:tab/>
      </w:r>
      <w:r>
        <w:rPr>
          <w:rFonts w:ascii="Arial" w:cs="Arial" w:eastAsia="Arial" w:hAnsi="Arial"/>
          <w:sz w:val="16"/>
          <w:szCs w:val="16"/>
          <w:b w:val="1"/>
          <w:bCs w:val="1"/>
          <w:color w:val="auto"/>
        </w:rPr>
        <w:t>455</w:t>
      </w:r>
      <w:r>
        <w:rPr>
          <w:sz w:val="20"/>
          <w:szCs w:val="20"/>
          <w:color w:val="auto"/>
        </w:rPr>
        <w:tab/>
      </w:r>
      <w:r>
        <w:rPr>
          <w:rFonts w:ascii="Arial" w:cs="Arial" w:eastAsia="Arial" w:hAnsi="Arial"/>
          <w:sz w:val="16"/>
          <w:szCs w:val="16"/>
          <w:b w:val="1"/>
          <w:bCs w:val="1"/>
          <w:color w:val="auto"/>
        </w:rPr>
        <w:t>5</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6,493</w:t>
      </w:r>
      <w:r>
        <w:rPr>
          <w:sz w:val="20"/>
          <w:szCs w:val="20"/>
          <w:color w:val="auto"/>
        </w:rPr>
        <w:tab/>
      </w:r>
      <w:r>
        <w:rPr>
          <w:rFonts w:ascii="Arial" w:cs="Arial" w:eastAsia="Arial" w:hAnsi="Arial"/>
          <w:sz w:val="16"/>
          <w:szCs w:val="16"/>
          <w:b w:val="1"/>
          <w:bCs w:val="1"/>
          <w:color w:val="auto"/>
        </w:rPr>
        <w:t>1,326</w:t>
      </w:r>
      <w:r>
        <w:rPr>
          <w:sz w:val="20"/>
          <w:szCs w:val="20"/>
          <w:color w:val="auto"/>
        </w:rPr>
        <w:tab/>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(691)</w:t>
      </w:r>
      <w:r>
        <w:rPr>
          <w:sz w:val="20"/>
          <w:szCs w:val="20"/>
          <w:color w:val="auto"/>
        </w:rPr>
        <w:tab/>
      </w:r>
      <w:r>
        <w:rPr>
          <w:rFonts w:ascii="Arial" w:cs="Arial" w:eastAsia="Arial" w:hAnsi="Arial"/>
          <w:sz w:val="16"/>
          <w:szCs w:val="16"/>
          <w:b w:val="1"/>
          <w:bCs w:val="1"/>
          <w:color w:val="auto"/>
        </w:rPr>
        <w:t>12</w:t>
      </w:r>
      <w:r>
        <w:rPr>
          <w:sz w:val="20"/>
          <w:szCs w:val="20"/>
          <w:color w:val="auto"/>
        </w:rPr>
        <w:tab/>
      </w:r>
      <w:r>
        <w:rPr>
          <w:rFonts w:ascii="Arial" w:cs="Arial" w:eastAsia="Arial" w:hAnsi="Arial"/>
          <w:sz w:val="15"/>
          <w:szCs w:val="15"/>
          <w:b w:val="1"/>
          <w:bCs w:val="1"/>
          <w:color w:val="auto"/>
        </w:rPr>
        <w:t>7,145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2343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p>
      <w:pPr>
        <w:spacing w:after="0" w:line="86" w:lineRule="exact"/>
        <w:rPr>
          <w:sz w:val="20"/>
          <w:szCs w:val="20"/>
          <w:color w:val="auto"/>
        </w:rPr>
      </w:pPr>
    </w:p>
    <w:p>
      <w:pPr>
        <w:ind w:left="40" w:right="20"/>
        <w:spacing w:after="0" w:line="299" w:lineRule="auto"/>
        <w:rPr>
          <w:sz w:val="20"/>
          <w:szCs w:val="20"/>
          <w:color w:val="auto"/>
        </w:rPr>
      </w:pPr>
      <w:r>
        <w:rPr>
          <w:rFonts w:ascii="Arial" w:cs="Arial" w:eastAsia="Arial" w:hAnsi="Arial"/>
          <w:sz w:val="16"/>
          <w:szCs w:val="16"/>
          <w:color w:val="auto"/>
        </w:rPr>
        <w:t>Issuance of shares under equity awards, net of shares withheld for taxes and other</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right="80"/>
        <w:spacing w:after="0" w:line="299" w:lineRule="auto"/>
        <w:rPr>
          <w:sz w:val="20"/>
          <w:szCs w:val="20"/>
          <w:color w:val="auto"/>
        </w:rPr>
      </w:pPr>
      <w:r>
        <w:rPr>
          <w:rFonts w:ascii="Arial" w:cs="Arial" w:eastAsia="Arial" w:hAnsi="Arial"/>
          <w:sz w:val="16"/>
          <w:szCs w:val="16"/>
          <w:color w:val="auto"/>
        </w:rPr>
        <w:t>Dividends declared ($0.125 per common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6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580" w:type="dxa"/>
            <w:vAlign w:val="bottom"/>
          </w:tcPr>
          <w:p>
            <w:pPr>
              <w:ind w:left="2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8"/>
              </w:rPr>
              <w:t>(25)</w:t>
            </w:r>
          </w:p>
        </w:tc>
        <w:tc>
          <w:tcPr>
            <w:tcW w:w="720" w:type="dxa"/>
            <w:vAlign w:val="bottom"/>
          </w:tcPr>
          <w:p>
            <w:pPr>
              <w:jc w:val="right"/>
              <w:ind w:right="59"/>
              <w:spacing w:after="0"/>
              <w:rPr>
                <w:sz w:val="20"/>
                <w:szCs w:val="20"/>
                <w:color w:val="auto"/>
              </w:rPr>
            </w:pPr>
            <w:r>
              <w:rPr>
                <w:rFonts w:ascii="Arial" w:cs="Arial" w:eastAsia="Arial" w:hAnsi="Arial"/>
                <w:sz w:val="16"/>
                <w:szCs w:val="16"/>
                <w:color w:val="auto"/>
              </w:rPr>
              <w:t>(35)</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65"/>
        </w:trPr>
        <w:tc>
          <w:tcPr>
            <w:tcW w:w="400" w:type="dxa"/>
            <w:vAlign w:val="bottom"/>
          </w:tcPr>
          <w:p>
            <w:pPr>
              <w:jc w:val="right"/>
              <w:ind w:right="159"/>
              <w:spacing w:after="0"/>
              <w:rPr>
                <w:sz w:val="20"/>
                <w:szCs w:val="20"/>
                <w:color w:val="auto"/>
              </w:rPr>
            </w:pPr>
            <w:r>
              <w:rPr>
                <w:rFonts w:ascii="Arial" w:cs="Arial" w:eastAsia="Arial" w:hAnsi="Arial"/>
                <w:sz w:val="16"/>
                <w:szCs w:val="16"/>
                <w:color w:val="auto"/>
                <w:w w:val="87"/>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580" w:type="dxa"/>
            <w:vAlign w:val="bottom"/>
          </w:tcPr>
          <w:p>
            <w:pPr>
              <w:ind w:left="2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1,993</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1,993</w:t>
            </w:r>
          </w:p>
        </w:tc>
      </w:tr>
      <w:tr>
        <w:trPr>
          <w:trHeight w:val="351"/>
        </w:trPr>
        <w:tc>
          <w:tcPr>
            <w:tcW w:w="400" w:type="dxa"/>
            <w:vAlign w:val="bottom"/>
          </w:tcPr>
          <w:p>
            <w:pPr>
              <w:jc w:val="right"/>
              <w:ind w:right="159"/>
              <w:spacing w:after="0"/>
              <w:rPr>
                <w:sz w:val="20"/>
                <w:szCs w:val="20"/>
                <w:color w:val="auto"/>
              </w:rPr>
            </w:pPr>
            <w:r>
              <w:rPr>
                <w:rFonts w:ascii="Arial" w:cs="Arial" w:eastAsia="Arial" w:hAnsi="Arial"/>
                <w:sz w:val="16"/>
                <w:szCs w:val="16"/>
                <w:color w:val="auto"/>
                <w:w w:val="87"/>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580" w:type="dxa"/>
            <w:vAlign w:val="bottom"/>
          </w:tcPr>
          <w:p>
            <w:pPr>
              <w:ind w:left="2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59"/>
              <w:spacing w:after="0"/>
              <w:rPr>
                <w:sz w:val="20"/>
                <w:szCs w:val="20"/>
                <w:color w:val="auto"/>
              </w:rPr>
            </w:pPr>
            <w:r>
              <w:rPr>
                <w:rFonts w:ascii="Arial" w:cs="Arial" w:eastAsia="Arial" w:hAnsi="Arial"/>
                <w:sz w:val="16"/>
                <w:szCs w:val="16"/>
                <w:color w:val="auto"/>
              </w:rPr>
              <w:t>(58)</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459"/>
        </w:trPr>
        <w:tc>
          <w:tcPr>
            <w:tcW w:w="400" w:type="dxa"/>
            <w:vAlign w:val="bottom"/>
          </w:tcPr>
          <w:p>
            <w:pPr>
              <w:jc w:val="right"/>
              <w:ind w:right="159"/>
              <w:spacing w:after="0"/>
              <w:rPr>
                <w:sz w:val="20"/>
                <w:szCs w:val="20"/>
                <w:color w:val="auto"/>
              </w:rPr>
            </w:pPr>
            <w:r>
              <w:rPr>
                <w:rFonts w:ascii="Arial" w:cs="Arial" w:eastAsia="Arial" w:hAnsi="Arial"/>
                <w:sz w:val="16"/>
                <w:szCs w:val="16"/>
                <w:color w:val="auto"/>
                <w:w w:val="87"/>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580" w:type="dxa"/>
            <w:vAlign w:val="bottom"/>
          </w:tcPr>
          <w:p>
            <w:pPr>
              <w:ind w:left="2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440"/>
              <w:spacing w:after="0"/>
              <w:rPr>
                <w:sz w:val="20"/>
                <w:szCs w:val="20"/>
                <w:color w:val="auto"/>
              </w:rPr>
            </w:pPr>
            <w:r>
              <w:rPr>
                <w:rFonts w:ascii="Arial" w:cs="Arial" w:eastAsia="Arial" w:hAnsi="Arial"/>
                <w:sz w:val="16"/>
                <w:szCs w:val="16"/>
                <w:color w:val="auto"/>
              </w:rPr>
              <w:t>(688)</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(688)</w:t>
            </w:r>
          </w:p>
        </w:tc>
      </w:tr>
      <w:tr>
        <w:trPr>
          <w:trHeight w:val="459"/>
        </w:trPr>
        <w:tc>
          <w:tcPr>
            <w:tcW w:w="400" w:type="dxa"/>
            <w:vAlign w:val="bottom"/>
          </w:tcPr>
          <w:p>
            <w:pPr>
              <w:jc w:val="right"/>
              <w:ind w:right="159"/>
              <w:spacing w:after="0"/>
              <w:rPr>
                <w:sz w:val="20"/>
                <w:szCs w:val="20"/>
                <w:color w:val="auto"/>
              </w:rPr>
            </w:pPr>
            <w:r>
              <w:rPr>
                <w:rFonts w:ascii="Arial" w:cs="Arial" w:eastAsia="Arial" w:hAnsi="Arial"/>
                <w:sz w:val="16"/>
                <w:szCs w:val="16"/>
                <w:color w:val="auto"/>
                <w:w w:val="87"/>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580" w:type="dxa"/>
            <w:vAlign w:val="bottom"/>
          </w:tcPr>
          <w:p>
            <w:pPr>
              <w:ind w:left="2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6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65"/>
        </w:trPr>
        <w:tc>
          <w:tcPr>
            <w:tcW w:w="400" w:type="dxa"/>
            <w:vAlign w:val="bottom"/>
          </w:tcPr>
          <w:p>
            <w:pPr>
              <w:jc w:val="right"/>
              <w:ind w:right="159"/>
              <w:spacing w:after="0"/>
              <w:rPr>
                <w:sz w:val="20"/>
                <w:szCs w:val="20"/>
                <w:color w:val="auto"/>
              </w:rPr>
            </w:pPr>
            <w:r>
              <w:rPr>
                <w:rFonts w:ascii="Arial" w:cs="Arial" w:eastAsia="Arial" w:hAnsi="Arial"/>
                <w:sz w:val="16"/>
                <w:szCs w:val="16"/>
                <w:color w:val="auto"/>
                <w:w w:val="87"/>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580" w:type="dxa"/>
            <w:vAlign w:val="bottom"/>
          </w:tcPr>
          <w:p>
            <w:pPr>
              <w:ind w:left="200"/>
              <w:spacing w:after="0"/>
              <w:rPr>
                <w:sz w:val="20"/>
                <w:szCs w:val="20"/>
                <w:color w:val="auto"/>
              </w:rPr>
            </w:pPr>
            <w:r>
              <w:rPr>
                <w:rFonts w:ascii="Arial" w:cs="Arial" w:eastAsia="Arial" w:hAnsi="Arial"/>
                <w:sz w:val="16"/>
                <w:szCs w:val="16"/>
                <w:color w:val="auto"/>
              </w:rPr>
              <w:t>—</w:t>
            </w:r>
          </w:p>
        </w:tc>
        <w:tc>
          <w:tcPr>
            <w:tcW w:w="7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20" w:type="dxa"/>
            <w:vAlign w:val="bottom"/>
          </w:tcPr>
          <w:p>
            <w:pPr>
              <w:jc w:val="right"/>
              <w:ind w:right="99"/>
              <w:spacing w:after="0"/>
              <w:rPr>
                <w:sz w:val="20"/>
                <w:szCs w:val="20"/>
                <w:color w:val="auto"/>
              </w:rPr>
            </w:pPr>
            <w:r>
              <w:rPr>
                <w:rFonts w:ascii="Arial" w:cs="Arial" w:eastAsia="Arial" w:hAnsi="Arial"/>
                <w:sz w:val="16"/>
                <w:szCs w:val="16"/>
                <w:color w:val="auto"/>
              </w:rPr>
              <w:t>125</w:t>
            </w:r>
          </w:p>
        </w:tc>
        <w:tc>
          <w:tcPr>
            <w:tcW w:w="94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Pr>
          <w:p>
            <w:pPr>
              <w:ind w:left="340"/>
              <w:spacing w:after="0"/>
              <w:rPr>
                <w:sz w:val="20"/>
                <w:szCs w:val="20"/>
                <w:color w:val="auto"/>
              </w:rPr>
            </w:pPr>
            <w:r>
              <w:rPr>
                <w:rFonts w:ascii="Arial" w:cs="Arial" w:eastAsia="Arial" w:hAnsi="Arial"/>
                <w:sz w:val="16"/>
                <w:szCs w:val="16"/>
                <w:color w:val="auto"/>
              </w:rPr>
              <w:t>—</w:t>
            </w:r>
          </w:p>
        </w:tc>
        <w:tc>
          <w:tcPr>
            <w:tcW w:w="1300" w:type="dxa"/>
            <w:vAlign w:val="bottom"/>
          </w:tcPr>
          <w:p>
            <w:pPr>
              <w:ind w:left="6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-1181100</wp:posOffset>
            </wp:positionV>
            <wp:extent cx="7123430" cy="1625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23430" cy="16256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-726440</wp:posOffset>
            </wp:positionV>
            <wp:extent cx="7123430" cy="2914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23430" cy="29146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-144145</wp:posOffset>
            </wp:positionV>
            <wp:extent cx="712343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020" w:space="540"/>
            <w:col w:w="7680"/>
          </w:cols>
          <w:pgMar w:left="320" w:top="130" w:right="339" w:bottom="1440" w:gutter="0" w:footer="0" w:header="0"/>
          <w:type w:val="continuous"/>
        </w:sectPr>
      </w:pPr>
    </w:p>
    <w:tbl>
      <w:tblPr>
        <w:tblLayout w:type="fixed"/>
        <w:tblInd w:w="20" w:type="dxa"/>
        <w:tblCellMar>
          <w:top w:w="0" w:type="dxa"/>
          <w:left w:w="0" w:type="dxa"/>
          <w:bottom w:w="0" w:type="dxa"/>
          <w:right w:w="0" w:type="dxa"/>
        </w:tblCellMar>
      </w:tblPr>
      <w:tr>
        <w:trPr>
          <w:trHeight w:val="223"/>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Balances as of December 31, 2024</w:t>
            </w:r>
          </w:p>
        </w:tc>
        <w:tc>
          <w:tcPr>
            <w:tcW w:w="740" w:type="dxa"/>
            <w:vAlign w:val="bottom"/>
          </w:tcPr>
          <w:p>
            <w:pPr>
              <w:jc w:val="right"/>
              <w:ind w:right="159"/>
              <w:spacing w:after="0"/>
              <w:rPr>
                <w:sz w:val="20"/>
                <w:szCs w:val="20"/>
                <w:color w:val="auto"/>
              </w:rPr>
            </w:pPr>
            <w:r>
              <w:rPr>
                <w:rFonts w:ascii="Arial" w:cs="Arial" w:eastAsia="Arial" w:hAnsi="Arial"/>
                <w:sz w:val="16"/>
                <w:szCs w:val="16"/>
                <w:b w:val="1"/>
                <w:bCs w:val="1"/>
                <w:color w:val="auto"/>
              </w:rPr>
              <w:t>457</w:t>
            </w:r>
          </w:p>
        </w:tc>
        <w:tc>
          <w:tcPr>
            <w:tcW w:w="620" w:type="dxa"/>
            <w:vAlign w:val="bottom"/>
          </w:tcPr>
          <w:p>
            <w:pPr>
              <w:jc w:val="right"/>
              <w:ind w:right="119"/>
              <w:spacing w:after="0"/>
              <w:rPr>
                <w:sz w:val="20"/>
                <w:szCs w:val="20"/>
                <w:color w:val="auto"/>
              </w:rPr>
            </w:pPr>
            <w:r>
              <w:rPr>
                <w:rFonts w:ascii="Arial" w:cs="Arial" w:eastAsia="Arial" w:hAnsi="Arial"/>
                <w:sz w:val="16"/>
                <w:szCs w:val="16"/>
                <w:b w:val="1"/>
                <w:bCs w:val="1"/>
                <w:color w:val="auto"/>
              </w:rPr>
              <w:t>5</w:t>
            </w:r>
          </w:p>
        </w:tc>
        <w:tc>
          <w:tcPr>
            <w:tcW w:w="580" w:type="dxa"/>
            <w:vAlign w:val="bottom"/>
          </w:tcPr>
          <w:p>
            <w:pPr>
              <w:ind w:left="200"/>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19"/>
              <w:spacing w:after="0"/>
              <w:rPr>
                <w:sz w:val="20"/>
                <w:szCs w:val="20"/>
                <w:color w:val="auto"/>
              </w:rPr>
            </w:pPr>
            <w:r>
              <w:rPr>
                <w:rFonts w:ascii="Arial" w:cs="Arial" w:eastAsia="Arial" w:hAnsi="Arial"/>
                <w:sz w:val="16"/>
                <w:szCs w:val="16"/>
                <w:b w:val="1"/>
                <w:bCs w:val="1"/>
                <w:color w:val="auto"/>
              </w:rPr>
              <w:t>(25)</w:t>
            </w:r>
          </w:p>
        </w:tc>
        <w:tc>
          <w:tcPr>
            <w:tcW w:w="780" w:type="dxa"/>
            <w:vAlign w:val="bottom"/>
          </w:tcPr>
          <w:p>
            <w:pPr>
              <w:jc w:val="right"/>
              <w:ind w:right="99"/>
              <w:spacing w:after="0"/>
              <w:rPr>
                <w:sz w:val="20"/>
                <w:szCs w:val="20"/>
                <w:color w:val="auto"/>
              </w:rPr>
            </w:pPr>
            <w:r>
              <w:rPr>
                <w:rFonts w:ascii="Arial" w:cs="Arial" w:eastAsia="Arial" w:hAnsi="Arial"/>
                <w:sz w:val="16"/>
                <w:szCs w:val="16"/>
                <w:b w:val="1"/>
                <w:bCs w:val="1"/>
                <w:color w:val="auto"/>
              </w:rPr>
              <w:t>6,583</w:t>
            </w:r>
          </w:p>
        </w:tc>
        <w:tc>
          <w:tcPr>
            <w:tcW w:w="920" w:type="dxa"/>
            <w:vAlign w:val="bottom"/>
          </w:tcPr>
          <w:p>
            <w:pPr>
              <w:jc w:val="right"/>
              <w:ind w:right="299"/>
              <w:spacing w:after="0"/>
              <w:rPr>
                <w:sz w:val="20"/>
                <w:szCs w:val="20"/>
                <w:color w:val="auto"/>
              </w:rPr>
            </w:pPr>
            <w:r>
              <w:rPr>
                <w:rFonts w:ascii="Arial" w:cs="Arial" w:eastAsia="Arial" w:hAnsi="Arial"/>
                <w:sz w:val="16"/>
                <w:szCs w:val="16"/>
                <w:b w:val="1"/>
                <w:bCs w:val="1"/>
                <w:color w:val="auto"/>
              </w:rPr>
              <w:t>3,262</w:t>
            </w:r>
          </w:p>
        </w:tc>
        <w:tc>
          <w:tcPr>
            <w:tcW w:w="900" w:type="dxa"/>
            <w:vAlign w:val="bottom"/>
          </w:tcPr>
          <w:p>
            <w:pPr>
              <w:ind w:left="360"/>
              <w:spacing w:after="0"/>
              <w:rPr>
                <w:sz w:val="20"/>
                <w:szCs w:val="20"/>
                <w:color w:val="auto"/>
              </w:rPr>
            </w:pPr>
            <w:r>
              <w:rPr>
                <w:rFonts w:ascii="Arial" w:cs="Arial" w:eastAsia="Arial" w:hAnsi="Arial"/>
                <w:sz w:val="16"/>
                <w:szCs w:val="16"/>
                <w:b w:val="1"/>
                <w:bCs w:val="1"/>
                <w:color w:val="auto"/>
              </w:rPr>
              <w:t>—</w:t>
            </w:r>
          </w:p>
        </w:tc>
        <w:tc>
          <w:tcPr>
            <w:tcW w:w="1380" w:type="dxa"/>
            <w:vAlign w:val="bottom"/>
          </w:tcPr>
          <w:p>
            <w:pPr>
              <w:jc w:val="right"/>
              <w:ind w:right="399"/>
              <w:spacing w:after="0"/>
              <w:rPr>
                <w:sz w:val="20"/>
                <w:szCs w:val="20"/>
                <w:color w:val="auto"/>
              </w:rPr>
            </w:pPr>
            <w:r>
              <w:rPr>
                <w:rFonts w:ascii="Arial" w:cs="Arial" w:eastAsia="Arial" w:hAnsi="Arial"/>
                <w:sz w:val="16"/>
                <w:szCs w:val="16"/>
                <w:b w:val="1"/>
                <w:bCs w:val="1"/>
                <w:color w:val="auto"/>
              </w:rPr>
              <w:t>(1,379)</w:t>
            </w:r>
          </w:p>
        </w:tc>
        <w:tc>
          <w:tcPr>
            <w:tcW w:w="780" w:type="dxa"/>
            <w:vAlign w:val="bottom"/>
          </w:tcPr>
          <w:p>
            <w:pPr>
              <w:jc w:val="right"/>
              <w:ind w:right="59"/>
              <w:spacing w:after="0"/>
              <w:rPr>
                <w:sz w:val="20"/>
                <w:szCs w:val="20"/>
                <w:color w:val="auto"/>
              </w:rPr>
            </w:pPr>
            <w:r>
              <w:rPr>
                <w:rFonts w:ascii="Arial" w:cs="Arial" w:eastAsia="Arial" w:hAnsi="Arial"/>
                <w:sz w:val="16"/>
                <w:szCs w:val="16"/>
                <w:b w:val="1"/>
                <w:bCs w:val="1"/>
                <w:color w:val="auto"/>
              </w:rPr>
              <w:t>18</w:t>
            </w: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8,464</w:t>
            </w:r>
          </w:p>
        </w:tc>
        <w:tc>
          <w:tcPr>
            <w:tcW w:w="0" w:type="dxa"/>
            <w:vAlign w:val="bottom"/>
          </w:tcPr>
          <w:p>
            <w:pPr>
              <w:spacing w:after="0"/>
              <w:rPr>
                <w:sz w:val="1"/>
                <w:szCs w:val="1"/>
                <w:color w:val="auto"/>
              </w:rPr>
            </w:pPr>
          </w:p>
        </w:tc>
      </w:tr>
      <w:tr>
        <w:trPr>
          <w:trHeight w:val="21"/>
        </w:trPr>
        <w:tc>
          <w:tcPr>
            <w:tcW w:w="3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200" w:type="dxa"/>
            <w:vAlign w:val="bottom"/>
            <w:shd w:val="clear" w:color="auto" w:fill="E4E4E4"/>
          </w:tcPr>
          <w:p>
            <w:pPr>
              <w:ind w:left="20"/>
              <w:spacing w:after="0"/>
              <w:rPr>
                <w:sz w:val="20"/>
                <w:szCs w:val="20"/>
                <w:color w:val="auto"/>
              </w:rPr>
            </w:pPr>
            <w:r>
              <w:rPr>
                <w:rFonts w:ascii="Arial" w:cs="Arial" w:eastAsia="Arial" w:hAnsi="Arial"/>
                <w:sz w:val="16"/>
                <w:szCs w:val="16"/>
                <w:color w:val="auto"/>
              </w:rPr>
              <w:t>Issuance of shares under equity awards,</w:t>
            </w:r>
          </w:p>
        </w:tc>
        <w:tc>
          <w:tcPr>
            <w:tcW w:w="740" w:type="dxa"/>
            <w:vAlign w:val="bottom"/>
            <w:vMerge w:val="restart"/>
            <w:shd w:val="clear" w:color="auto" w:fill="E4E4E4"/>
          </w:tcPr>
          <w:p>
            <w:pPr>
              <w:jc w:val="right"/>
              <w:ind w:right="159"/>
              <w:spacing w:after="0"/>
              <w:rPr>
                <w:sz w:val="20"/>
                <w:szCs w:val="20"/>
                <w:color w:val="auto"/>
              </w:rPr>
            </w:pPr>
            <w:r>
              <w:rPr>
                <w:rFonts w:ascii="Arial" w:cs="Arial" w:eastAsia="Arial" w:hAnsi="Arial"/>
                <w:sz w:val="16"/>
                <w:szCs w:val="16"/>
                <w:color w:val="auto"/>
              </w:rPr>
              <w:t>2</w:t>
            </w:r>
          </w:p>
        </w:tc>
        <w:tc>
          <w:tcPr>
            <w:tcW w:w="620" w:type="dxa"/>
            <w:vAlign w:val="bottom"/>
            <w:vMerge w:val="restart"/>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E4E4E4"/>
          </w:tcPr>
          <w:p>
            <w:pPr>
              <w:ind w:left="200"/>
              <w:spacing w:after="0"/>
              <w:rPr>
                <w:sz w:val="20"/>
                <w:szCs w:val="20"/>
                <w:color w:val="auto"/>
              </w:rPr>
            </w:pPr>
            <w:r>
              <w:rPr>
                <w:rFonts w:ascii="Arial" w:cs="Arial" w:eastAsia="Arial" w:hAnsi="Arial"/>
                <w:sz w:val="16"/>
                <w:szCs w:val="16"/>
                <w:color w:val="auto"/>
              </w:rPr>
              <w:t>—</w:t>
            </w:r>
          </w:p>
        </w:tc>
        <w:tc>
          <w:tcPr>
            <w:tcW w:w="680" w:type="dxa"/>
            <w:vAlign w:val="bottom"/>
            <w:vMerge w:val="restart"/>
            <w:shd w:val="clear" w:color="auto" w:fill="E4E4E4"/>
          </w:tcPr>
          <w:p>
            <w:pPr>
              <w:jc w:val="center"/>
              <w:spacing w:after="0"/>
              <w:rPr>
                <w:sz w:val="20"/>
                <w:szCs w:val="20"/>
                <w:color w:val="auto"/>
              </w:rPr>
            </w:pPr>
            <w:r>
              <w:rPr>
                <w:rFonts w:ascii="Arial" w:cs="Arial" w:eastAsia="Arial" w:hAnsi="Arial"/>
                <w:sz w:val="16"/>
                <w:szCs w:val="16"/>
                <w:color w:val="auto"/>
                <w:w w:val="99"/>
              </w:rPr>
              <w:t>—</w:t>
            </w:r>
          </w:p>
        </w:tc>
        <w:tc>
          <w:tcPr>
            <w:tcW w:w="780" w:type="dxa"/>
            <w:vAlign w:val="bottom"/>
            <w:vMerge w:val="restart"/>
            <w:shd w:val="clear" w:color="auto" w:fill="E4E4E4"/>
          </w:tcPr>
          <w:p>
            <w:pPr>
              <w:jc w:val="right"/>
              <w:ind w:right="59"/>
              <w:spacing w:after="0"/>
              <w:rPr>
                <w:sz w:val="20"/>
                <w:szCs w:val="20"/>
                <w:color w:val="auto"/>
              </w:rPr>
            </w:pPr>
            <w:r>
              <w:rPr>
                <w:rFonts w:ascii="Arial" w:cs="Arial" w:eastAsia="Arial" w:hAnsi="Arial"/>
                <w:sz w:val="16"/>
                <w:szCs w:val="16"/>
                <w:color w:val="auto"/>
              </w:rPr>
              <w:t>(5)</w:t>
            </w:r>
          </w:p>
        </w:tc>
        <w:tc>
          <w:tcPr>
            <w:tcW w:w="920" w:type="dxa"/>
            <w:vAlign w:val="bottom"/>
            <w:vMerge w:val="restart"/>
            <w:shd w:val="clear" w:color="auto" w:fill="E4E4E4"/>
          </w:tcPr>
          <w:p>
            <w:pPr>
              <w:jc w:val="right"/>
              <w:ind w:right="29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E4E4E4"/>
          </w:tcPr>
          <w:p>
            <w:pPr>
              <w:ind w:left="360"/>
              <w:spacing w:after="0"/>
              <w:rPr>
                <w:sz w:val="20"/>
                <w:szCs w:val="20"/>
                <w:color w:val="auto"/>
              </w:rPr>
            </w:pPr>
            <w:r>
              <w:rPr>
                <w:rFonts w:ascii="Arial" w:cs="Arial" w:eastAsia="Arial" w:hAnsi="Arial"/>
                <w:sz w:val="16"/>
                <w:szCs w:val="16"/>
                <w:color w:val="auto"/>
              </w:rPr>
              <w:t>—</w:t>
            </w:r>
          </w:p>
        </w:tc>
        <w:tc>
          <w:tcPr>
            <w:tcW w:w="1380" w:type="dxa"/>
            <w:vAlign w:val="bottom"/>
            <w:vMerge w:val="restart"/>
            <w:shd w:val="clear" w:color="auto" w:fill="E4E4E4"/>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07"/>
        </w:trPr>
        <w:tc>
          <w:tcPr>
            <w:tcW w:w="3200" w:type="dxa"/>
            <w:vAlign w:val="bottom"/>
            <w:vMerge w:val="restart"/>
            <w:shd w:val="clear" w:color="auto" w:fill="E4E4E4"/>
          </w:tcPr>
          <w:p>
            <w:pPr>
              <w:ind w:left="20"/>
              <w:spacing w:after="0"/>
              <w:rPr>
                <w:sz w:val="20"/>
                <w:szCs w:val="20"/>
                <w:color w:val="auto"/>
              </w:rPr>
            </w:pPr>
            <w:r>
              <w:rPr>
                <w:rFonts w:ascii="Arial" w:cs="Arial" w:eastAsia="Arial" w:hAnsi="Arial"/>
                <w:sz w:val="16"/>
                <w:szCs w:val="16"/>
                <w:color w:val="auto"/>
              </w:rPr>
              <w:t>net of shares withheld for taxes and other</w:t>
            </w:r>
          </w:p>
        </w:tc>
        <w:tc>
          <w:tcPr>
            <w:tcW w:w="740" w:type="dxa"/>
            <w:vAlign w:val="bottom"/>
            <w:vMerge w:val="continue"/>
            <w:shd w:val="clear" w:color="auto" w:fill="E4E4E4"/>
          </w:tcPr>
          <w:p>
            <w:pPr>
              <w:spacing w:after="0"/>
              <w:rPr>
                <w:sz w:val="9"/>
                <w:szCs w:val="9"/>
                <w:color w:val="auto"/>
              </w:rPr>
            </w:pPr>
          </w:p>
        </w:tc>
        <w:tc>
          <w:tcPr>
            <w:tcW w:w="620" w:type="dxa"/>
            <w:vAlign w:val="bottom"/>
            <w:vMerge w:val="continue"/>
            <w:shd w:val="clear" w:color="auto" w:fill="E4E4E4"/>
          </w:tcPr>
          <w:p>
            <w:pPr>
              <w:spacing w:after="0"/>
              <w:rPr>
                <w:sz w:val="9"/>
                <w:szCs w:val="9"/>
                <w:color w:val="auto"/>
              </w:rPr>
            </w:pPr>
          </w:p>
        </w:tc>
        <w:tc>
          <w:tcPr>
            <w:tcW w:w="580" w:type="dxa"/>
            <w:vAlign w:val="bottom"/>
            <w:vMerge w:val="continue"/>
            <w:shd w:val="clear" w:color="auto" w:fill="E4E4E4"/>
          </w:tcPr>
          <w:p>
            <w:pPr>
              <w:spacing w:after="0"/>
              <w:rPr>
                <w:sz w:val="9"/>
                <w:szCs w:val="9"/>
                <w:color w:val="auto"/>
              </w:rPr>
            </w:pPr>
          </w:p>
        </w:tc>
        <w:tc>
          <w:tcPr>
            <w:tcW w:w="680" w:type="dxa"/>
            <w:vAlign w:val="bottom"/>
            <w:vMerge w:val="continue"/>
            <w:shd w:val="clear" w:color="auto" w:fill="E4E4E4"/>
          </w:tcPr>
          <w:p>
            <w:pPr>
              <w:spacing w:after="0"/>
              <w:rPr>
                <w:sz w:val="9"/>
                <w:szCs w:val="9"/>
                <w:color w:val="auto"/>
              </w:rPr>
            </w:pPr>
          </w:p>
        </w:tc>
        <w:tc>
          <w:tcPr>
            <w:tcW w:w="780" w:type="dxa"/>
            <w:vAlign w:val="bottom"/>
            <w:vMerge w:val="continue"/>
            <w:shd w:val="clear" w:color="auto" w:fill="E4E4E4"/>
          </w:tcPr>
          <w:p>
            <w:pPr>
              <w:spacing w:after="0"/>
              <w:rPr>
                <w:sz w:val="9"/>
                <w:szCs w:val="9"/>
                <w:color w:val="auto"/>
              </w:rPr>
            </w:pPr>
          </w:p>
        </w:tc>
        <w:tc>
          <w:tcPr>
            <w:tcW w:w="920" w:type="dxa"/>
            <w:vAlign w:val="bottom"/>
            <w:vMerge w:val="continue"/>
            <w:shd w:val="clear" w:color="auto" w:fill="E4E4E4"/>
          </w:tcPr>
          <w:p>
            <w:pPr>
              <w:spacing w:after="0"/>
              <w:rPr>
                <w:sz w:val="9"/>
                <w:szCs w:val="9"/>
                <w:color w:val="auto"/>
              </w:rPr>
            </w:pPr>
          </w:p>
        </w:tc>
        <w:tc>
          <w:tcPr>
            <w:tcW w:w="900" w:type="dxa"/>
            <w:vAlign w:val="bottom"/>
            <w:vMerge w:val="continue"/>
            <w:shd w:val="clear" w:color="auto" w:fill="E4E4E4"/>
          </w:tcPr>
          <w:p>
            <w:pPr>
              <w:spacing w:after="0"/>
              <w:rPr>
                <w:sz w:val="9"/>
                <w:szCs w:val="9"/>
                <w:color w:val="auto"/>
              </w:rPr>
            </w:pPr>
          </w:p>
        </w:tc>
        <w:tc>
          <w:tcPr>
            <w:tcW w:w="1380" w:type="dxa"/>
            <w:vAlign w:val="bottom"/>
            <w:vMerge w:val="continue"/>
            <w:shd w:val="clear" w:color="auto" w:fill="E4E4E4"/>
          </w:tcPr>
          <w:p>
            <w:pPr>
              <w:spacing w:after="0"/>
              <w:rPr>
                <w:sz w:val="9"/>
                <w:szCs w:val="9"/>
                <w:color w:val="auto"/>
              </w:rPr>
            </w:pPr>
          </w:p>
        </w:tc>
        <w:tc>
          <w:tcPr>
            <w:tcW w:w="780" w:type="dxa"/>
            <w:vAlign w:val="bottom"/>
            <w:vMerge w:val="continue"/>
            <w:shd w:val="clear" w:color="auto" w:fill="E4E4E4"/>
          </w:tcPr>
          <w:p>
            <w:pPr>
              <w:spacing w:after="0"/>
              <w:rPr>
                <w:sz w:val="9"/>
                <w:szCs w:val="9"/>
                <w:color w:val="auto"/>
              </w:rPr>
            </w:pPr>
          </w:p>
        </w:tc>
        <w:tc>
          <w:tcPr>
            <w:tcW w:w="640" w:type="dxa"/>
            <w:vAlign w:val="bottom"/>
            <w:vMerge w:val="continue"/>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200" w:type="dxa"/>
            <w:vAlign w:val="bottom"/>
            <w:vMerge w:val="continue"/>
            <w:shd w:val="clear" w:color="auto" w:fill="E4E4E4"/>
          </w:tcPr>
          <w:p>
            <w:pPr>
              <w:spacing w:after="0"/>
              <w:rPr>
                <w:sz w:val="9"/>
                <w:szCs w:val="9"/>
                <w:color w:val="auto"/>
              </w:rPr>
            </w:pPr>
          </w:p>
        </w:tc>
        <w:tc>
          <w:tcPr>
            <w:tcW w:w="740" w:type="dxa"/>
            <w:vAlign w:val="bottom"/>
            <w:shd w:val="clear" w:color="auto" w:fill="E4E4E4"/>
          </w:tcPr>
          <w:p>
            <w:pPr>
              <w:spacing w:after="0"/>
              <w:rPr>
                <w:sz w:val="9"/>
                <w:szCs w:val="9"/>
                <w:color w:val="auto"/>
              </w:rPr>
            </w:pPr>
          </w:p>
        </w:tc>
        <w:tc>
          <w:tcPr>
            <w:tcW w:w="620" w:type="dxa"/>
            <w:vAlign w:val="bottom"/>
            <w:shd w:val="clear" w:color="auto" w:fill="E4E4E4"/>
          </w:tcPr>
          <w:p>
            <w:pPr>
              <w:spacing w:after="0"/>
              <w:rPr>
                <w:sz w:val="9"/>
                <w:szCs w:val="9"/>
                <w:color w:val="auto"/>
              </w:rPr>
            </w:pPr>
          </w:p>
        </w:tc>
        <w:tc>
          <w:tcPr>
            <w:tcW w:w="580" w:type="dxa"/>
            <w:vAlign w:val="bottom"/>
            <w:shd w:val="clear" w:color="auto" w:fill="E4E4E4"/>
          </w:tcPr>
          <w:p>
            <w:pPr>
              <w:spacing w:after="0"/>
              <w:rPr>
                <w:sz w:val="9"/>
                <w:szCs w:val="9"/>
                <w:color w:val="auto"/>
              </w:rPr>
            </w:pPr>
          </w:p>
        </w:tc>
        <w:tc>
          <w:tcPr>
            <w:tcW w:w="680" w:type="dxa"/>
            <w:vAlign w:val="bottom"/>
            <w:shd w:val="clear" w:color="auto" w:fill="E4E4E4"/>
          </w:tcPr>
          <w:p>
            <w:pPr>
              <w:spacing w:after="0"/>
              <w:rPr>
                <w:sz w:val="9"/>
                <w:szCs w:val="9"/>
                <w:color w:val="auto"/>
              </w:rPr>
            </w:pPr>
          </w:p>
        </w:tc>
        <w:tc>
          <w:tcPr>
            <w:tcW w:w="780" w:type="dxa"/>
            <w:vAlign w:val="bottom"/>
            <w:shd w:val="clear" w:color="auto" w:fill="E4E4E4"/>
          </w:tcPr>
          <w:p>
            <w:pPr>
              <w:spacing w:after="0"/>
              <w:rPr>
                <w:sz w:val="9"/>
                <w:szCs w:val="9"/>
                <w:color w:val="auto"/>
              </w:rPr>
            </w:pPr>
          </w:p>
        </w:tc>
        <w:tc>
          <w:tcPr>
            <w:tcW w:w="920" w:type="dxa"/>
            <w:vAlign w:val="bottom"/>
            <w:shd w:val="clear" w:color="auto" w:fill="E4E4E4"/>
          </w:tcPr>
          <w:p>
            <w:pPr>
              <w:spacing w:after="0"/>
              <w:rPr>
                <w:sz w:val="9"/>
                <w:szCs w:val="9"/>
                <w:color w:val="auto"/>
              </w:rPr>
            </w:pPr>
          </w:p>
        </w:tc>
        <w:tc>
          <w:tcPr>
            <w:tcW w:w="900" w:type="dxa"/>
            <w:vAlign w:val="bottom"/>
            <w:shd w:val="clear" w:color="auto" w:fill="E4E4E4"/>
          </w:tcPr>
          <w:p>
            <w:pPr>
              <w:spacing w:after="0"/>
              <w:rPr>
                <w:sz w:val="9"/>
                <w:szCs w:val="9"/>
                <w:color w:val="auto"/>
              </w:rPr>
            </w:pPr>
          </w:p>
        </w:tc>
        <w:tc>
          <w:tcPr>
            <w:tcW w:w="1380" w:type="dxa"/>
            <w:vAlign w:val="bottom"/>
            <w:shd w:val="clear" w:color="auto" w:fill="E4E4E4"/>
          </w:tcPr>
          <w:p>
            <w:pPr>
              <w:spacing w:after="0"/>
              <w:rPr>
                <w:sz w:val="9"/>
                <w:szCs w:val="9"/>
                <w:color w:val="auto"/>
              </w:rPr>
            </w:pPr>
          </w:p>
        </w:tc>
        <w:tc>
          <w:tcPr>
            <w:tcW w:w="780" w:type="dxa"/>
            <w:vAlign w:val="bottom"/>
            <w:shd w:val="clear" w:color="auto" w:fill="E4E4E4"/>
          </w:tcPr>
          <w:p>
            <w:pPr>
              <w:spacing w:after="0"/>
              <w:rPr>
                <w:sz w:val="9"/>
                <w:szCs w:val="9"/>
                <w:color w:val="auto"/>
              </w:rPr>
            </w:pPr>
          </w:p>
        </w:tc>
        <w:tc>
          <w:tcPr>
            <w:tcW w:w="640" w:type="dxa"/>
            <w:vAlign w:val="bottom"/>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3200" w:type="dxa"/>
            <w:vAlign w:val="bottom"/>
            <w:shd w:val="clear" w:color="auto" w:fill="E4E4E4"/>
          </w:tcPr>
          <w:p>
            <w:pPr>
              <w:spacing w:after="0"/>
              <w:rPr>
                <w:sz w:val="2"/>
                <w:szCs w:val="2"/>
                <w:color w:val="auto"/>
              </w:rPr>
            </w:pPr>
          </w:p>
        </w:tc>
        <w:tc>
          <w:tcPr>
            <w:tcW w:w="740" w:type="dxa"/>
            <w:vAlign w:val="bottom"/>
            <w:shd w:val="clear" w:color="auto" w:fill="E4E4E4"/>
          </w:tcPr>
          <w:p>
            <w:pPr>
              <w:spacing w:after="0"/>
              <w:rPr>
                <w:sz w:val="2"/>
                <w:szCs w:val="2"/>
                <w:color w:val="auto"/>
              </w:rPr>
            </w:pPr>
          </w:p>
        </w:tc>
        <w:tc>
          <w:tcPr>
            <w:tcW w:w="620" w:type="dxa"/>
            <w:vAlign w:val="bottom"/>
            <w:shd w:val="clear" w:color="auto" w:fill="E4E4E4"/>
          </w:tcPr>
          <w:p>
            <w:pPr>
              <w:spacing w:after="0"/>
              <w:rPr>
                <w:sz w:val="2"/>
                <w:szCs w:val="2"/>
                <w:color w:val="auto"/>
              </w:rPr>
            </w:pPr>
          </w:p>
        </w:tc>
        <w:tc>
          <w:tcPr>
            <w:tcW w:w="580" w:type="dxa"/>
            <w:vAlign w:val="bottom"/>
            <w:shd w:val="clear" w:color="auto" w:fill="E4E4E4"/>
          </w:tcPr>
          <w:p>
            <w:pPr>
              <w:spacing w:after="0"/>
              <w:rPr>
                <w:sz w:val="2"/>
                <w:szCs w:val="2"/>
                <w:color w:val="auto"/>
              </w:rPr>
            </w:pPr>
          </w:p>
        </w:tc>
        <w:tc>
          <w:tcPr>
            <w:tcW w:w="680" w:type="dxa"/>
            <w:vAlign w:val="bottom"/>
            <w:shd w:val="clear" w:color="auto" w:fill="E4E4E4"/>
          </w:tcPr>
          <w:p>
            <w:pPr>
              <w:spacing w:after="0"/>
              <w:rPr>
                <w:sz w:val="2"/>
                <w:szCs w:val="2"/>
                <w:color w:val="auto"/>
              </w:rPr>
            </w:pPr>
          </w:p>
        </w:tc>
        <w:tc>
          <w:tcPr>
            <w:tcW w:w="780" w:type="dxa"/>
            <w:vAlign w:val="bottom"/>
            <w:shd w:val="clear" w:color="auto" w:fill="E4E4E4"/>
          </w:tcPr>
          <w:p>
            <w:pPr>
              <w:spacing w:after="0"/>
              <w:rPr>
                <w:sz w:val="2"/>
                <w:szCs w:val="2"/>
                <w:color w:val="auto"/>
              </w:rPr>
            </w:pPr>
          </w:p>
        </w:tc>
        <w:tc>
          <w:tcPr>
            <w:tcW w:w="920" w:type="dxa"/>
            <w:vAlign w:val="bottom"/>
            <w:shd w:val="clear" w:color="auto" w:fill="E4E4E4"/>
          </w:tcPr>
          <w:p>
            <w:pPr>
              <w:spacing w:after="0"/>
              <w:rPr>
                <w:sz w:val="2"/>
                <w:szCs w:val="2"/>
                <w:color w:val="auto"/>
              </w:rPr>
            </w:pPr>
          </w:p>
        </w:tc>
        <w:tc>
          <w:tcPr>
            <w:tcW w:w="900" w:type="dxa"/>
            <w:vAlign w:val="bottom"/>
            <w:shd w:val="clear" w:color="auto" w:fill="E4E4E4"/>
          </w:tcPr>
          <w:p>
            <w:pPr>
              <w:spacing w:after="0"/>
              <w:rPr>
                <w:sz w:val="2"/>
                <w:szCs w:val="2"/>
                <w:color w:val="auto"/>
              </w:rPr>
            </w:pPr>
          </w:p>
        </w:tc>
        <w:tc>
          <w:tcPr>
            <w:tcW w:w="1380" w:type="dxa"/>
            <w:vAlign w:val="bottom"/>
            <w:shd w:val="clear" w:color="auto" w:fill="E4E4E4"/>
          </w:tcPr>
          <w:p>
            <w:pPr>
              <w:spacing w:after="0"/>
              <w:rPr>
                <w:sz w:val="2"/>
                <w:szCs w:val="2"/>
                <w:color w:val="auto"/>
              </w:rPr>
            </w:pPr>
          </w:p>
        </w:tc>
        <w:tc>
          <w:tcPr>
            <w:tcW w:w="780" w:type="dxa"/>
            <w:vAlign w:val="bottom"/>
            <w:shd w:val="clear" w:color="auto" w:fill="E4E4E4"/>
          </w:tcPr>
          <w:p>
            <w:pPr>
              <w:spacing w:after="0"/>
              <w:rPr>
                <w:sz w:val="2"/>
                <w:szCs w:val="2"/>
                <w:color w:val="auto"/>
              </w:rPr>
            </w:pPr>
          </w:p>
        </w:tc>
        <w:tc>
          <w:tcPr>
            <w:tcW w:w="640" w:type="dxa"/>
            <w:vAlign w:val="bottom"/>
            <w:shd w:val="clear" w:color="auto" w:fill="E4E4E4"/>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30" w:right="3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Repurchase of common stock</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attributable to GE HealthCare</w:t>
      </w:r>
    </w:p>
    <w:p>
      <w:pPr>
        <w:spacing w:after="0" w:line="73" w:lineRule="exact"/>
        <w:rPr>
          <w:sz w:val="20"/>
          <w:szCs w:val="20"/>
          <w:color w:val="auto"/>
        </w:rPr>
      </w:pPr>
    </w:p>
    <w:p>
      <w:pPr>
        <w:ind w:left="40" w:right="160"/>
        <w:spacing w:after="0" w:line="299" w:lineRule="auto"/>
        <w:rPr>
          <w:sz w:val="20"/>
          <w:szCs w:val="20"/>
          <w:color w:val="auto"/>
        </w:rPr>
      </w:pPr>
      <w:r>
        <w:rPr>
          <w:rFonts w:ascii="Arial" w:cs="Arial" w:eastAsia="Arial" w:hAnsi="Arial"/>
          <w:sz w:val="16"/>
          <w:szCs w:val="16"/>
          <w:color w:val="auto"/>
        </w:rPr>
        <w:t>Dividends declared ($0.14 per common share)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comprehensive income (loss)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attributable to GE HealthCare</w:t>
      </w:r>
    </w:p>
    <w:p>
      <w:pPr>
        <w:spacing w:after="0" w:line="60" w:lineRule="exact"/>
        <w:rPr>
          <w:sz w:val="20"/>
          <w:szCs w:val="20"/>
          <w:color w:val="auto"/>
        </w:rPr>
      </w:pPr>
    </w:p>
    <w:p>
      <w:pPr>
        <w:ind w:left="40" w:right="660"/>
        <w:spacing w:after="0" w:line="299" w:lineRule="auto"/>
        <w:rPr>
          <w:sz w:val="20"/>
          <w:szCs w:val="20"/>
          <w:color w:val="auto"/>
        </w:rPr>
      </w:pPr>
      <w:r>
        <w:rPr>
          <w:rFonts w:ascii="Arial" w:cs="Arial" w:eastAsia="Arial" w:hAnsi="Arial"/>
          <w:sz w:val="16"/>
          <w:szCs w:val="16"/>
          <w:color w:val="auto"/>
        </w:rPr>
        <w:t>Changes in equity attributable to noncontrolling interests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Share-based compensation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800" w:type="dxa"/>
            <w:vAlign w:val="bottom"/>
          </w:tcPr>
          <w:p>
            <w:pPr>
              <w:ind w:left="160"/>
              <w:spacing w:after="0"/>
              <w:rPr>
                <w:sz w:val="20"/>
                <w:szCs w:val="20"/>
                <w:color w:val="auto"/>
              </w:rPr>
            </w:pPr>
            <w:r>
              <w:rPr>
                <w:rFonts w:ascii="Arial" w:cs="Arial" w:eastAsia="Arial" w:hAnsi="Arial"/>
                <w:sz w:val="16"/>
                <w:szCs w:val="16"/>
                <w:color w:val="auto"/>
              </w:rPr>
              <w:t>(200)</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ind w:left="340"/>
              <w:spacing w:after="0"/>
              <w:rPr>
                <w:sz w:val="20"/>
                <w:szCs w:val="20"/>
                <w:color w:val="auto"/>
              </w:rPr>
            </w:pPr>
            <w:r>
              <w:rPr>
                <w:rFonts w:ascii="Arial" w:cs="Arial" w:eastAsia="Arial" w:hAnsi="Arial"/>
                <w:sz w:val="16"/>
                <w:szCs w:val="16"/>
                <w:color w:val="auto"/>
              </w:rPr>
              <w:t>—</w:t>
            </w:r>
          </w:p>
        </w:tc>
        <w:tc>
          <w:tcPr>
            <w:tcW w:w="1220" w:type="dxa"/>
            <w:vAlign w:val="bottom"/>
          </w:tcPr>
          <w:p>
            <w:pPr>
              <w:ind w:left="540"/>
              <w:spacing w:after="0"/>
              <w:rPr>
                <w:sz w:val="20"/>
                <w:szCs w:val="20"/>
                <w:color w:val="auto"/>
              </w:rPr>
            </w:pPr>
            <w:r>
              <w:rPr>
                <w:rFonts w:ascii="Arial" w:cs="Arial" w:eastAsia="Arial" w:hAnsi="Arial"/>
                <w:sz w:val="16"/>
                <w:szCs w:val="16"/>
                <w:color w:val="auto"/>
              </w:rPr>
              <w:t>—</w:t>
            </w: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57"/>
        </w:trPr>
        <w:tc>
          <w:tcPr>
            <w:tcW w:w="4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ind w:left="3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2,084</w:t>
            </w:r>
          </w:p>
        </w:tc>
        <w:tc>
          <w:tcPr>
            <w:tcW w:w="1040" w:type="dxa"/>
            <w:vAlign w:val="bottom"/>
          </w:tcPr>
          <w:p>
            <w:pPr>
              <w:ind w:left="340"/>
              <w:spacing w:after="0"/>
              <w:rPr>
                <w:sz w:val="20"/>
                <w:szCs w:val="20"/>
                <w:color w:val="auto"/>
              </w:rPr>
            </w:pPr>
            <w:r>
              <w:rPr>
                <w:rFonts w:ascii="Arial" w:cs="Arial" w:eastAsia="Arial" w:hAnsi="Arial"/>
                <w:sz w:val="16"/>
                <w:szCs w:val="16"/>
                <w:color w:val="auto"/>
              </w:rPr>
              <w:t>—</w:t>
            </w:r>
          </w:p>
        </w:tc>
        <w:tc>
          <w:tcPr>
            <w:tcW w:w="1220" w:type="dxa"/>
            <w:vAlign w:val="bottom"/>
          </w:tcPr>
          <w:p>
            <w:pPr>
              <w:ind w:left="540"/>
              <w:spacing w:after="0"/>
              <w:rPr>
                <w:sz w:val="20"/>
                <w:szCs w:val="20"/>
                <w:color w:val="auto"/>
              </w:rPr>
            </w:pPr>
            <w:r>
              <w:rPr>
                <w:rFonts w:ascii="Arial" w:cs="Arial" w:eastAsia="Arial" w:hAnsi="Arial"/>
                <w:sz w:val="16"/>
                <w:szCs w:val="16"/>
                <w:color w:val="auto"/>
              </w:rPr>
              <w:t>—</w:t>
            </w: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2,084</w:t>
            </w:r>
          </w:p>
        </w:tc>
      </w:tr>
      <w:tr>
        <w:trPr>
          <w:trHeight w:val="351"/>
        </w:trPr>
        <w:tc>
          <w:tcPr>
            <w:tcW w:w="4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ind w:left="3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(64)</w:t>
            </w:r>
          </w:p>
        </w:tc>
        <w:tc>
          <w:tcPr>
            <w:tcW w:w="1040" w:type="dxa"/>
            <w:vAlign w:val="bottom"/>
          </w:tcPr>
          <w:p>
            <w:pPr>
              <w:ind w:left="340"/>
              <w:spacing w:after="0"/>
              <w:rPr>
                <w:sz w:val="20"/>
                <w:szCs w:val="20"/>
                <w:color w:val="auto"/>
              </w:rPr>
            </w:pPr>
            <w:r>
              <w:rPr>
                <w:rFonts w:ascii="Arial" w:cs="Arial" w:eastAsia="Arial" w:hAnsi="Arial"/>
                <w:sz w:val="16"/>
                <w:szCs w:val="16"/>
                <w:color w:val="auto"/>
              </w:rPr>
              <w:t>—</w:t>
            </w:r>
          </w:p>
        </w:tc>
        <w:tc>
          <w:tcPr>
            <w:tcW w:w="1220" w:type="dxa"/>
            <w:vAlign w:val="bottom"/>
          </w:tcPr>
          <w:p>
            <w:pPr>
              <w:ind w:left="540"/>
              <w:spacing w:after="0"/>
              <w:rPr>
                <w:sz w:val="20"/>
                <w:szCs w:val="20"/>
                <w:color w:val="auto"/>
              </w:rPr>
            </w:pPr>
            <w:r>
              <w:rPr>
                <w:rFonts w:ascii="Arial" w:cs="Arial" w:eastAsia="Arial" w:hAnsi="Arial"/>
                <w:sz w:val="16"/>
                <w:szCs w:val="16"/>
                <w:color w:val="auto"/>
              </w:rPr>
              <w:t>—</w:t>
            </w: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459"/>
        </w:trPr>
        <w:tc>
          <w:tcPr>
            <w:tcW w:w="4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ind w:left="3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ind w:left="340"/>
              <w:spacing w:after="0"/>
              <w:rPr>
                <w:sz w:val="20"/>
                <w:szCs w:val="20"/>
                <w:color w:val="auto"/>
              </w:rPr>
            </w:pPr>
            <w:r>
              <w:rPr>
                <w:rFonts w:ascii="Arial" w:cs="Arial" w:eastAsia="Arial" w:hAnsi="Arial"/>
                <w:sz w:val="16"/>
                <w:szCs w:val="16"/>
                <w:color w:val="auto"/>
              </w:rPr>
              <w:t>—</w:t>
            </w:r>
          </w:p>
        </w:tc>
        <w:tc>
          <w:tcPr>
            <w:tcW w:w="1220" w:type="dxa"/>
            <w:vAlign w:val="bottom"/>
          </w:tcPr>
          <w:p>
            <w:pPr>
              <w:ind w:left="540"/>
              <w:spacing w:after="0"/>
              <w:rPr>
                <w:sz w:val="20"/>
                <w:szCs w:val="20"/>
                <w:color w:val="auto"/>
              </w:rPr>
            </w:pPr>
            <w:r>
              <w:rPr>
                <w:rFonts w:ascii="Arial" w:cs="Arial" w:eastAsia="Arial" w:hAnsi="Arial"/>
                <w:sz w:val="16"/>
                <w:szCs w:val="16"/>
                <w:color w:val="auto"/>
              </w:rPr>
              <w:t>(9)</w:t>
            </w: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459"/>
        </w:trPr>
        <w:tc>
          <w:tcPr>
            <w:tcW w:w="4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ind w:left="3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ind w:left="340"/>
              <w:spacing w:after="0"/>
              <w:rPr>
                <w:sz w:val="20"/>
                <w:szCs w:val="20"/>
                <w:color w:val="auto"/>
              </w:rPr>
            </w:pPr>
            <w:r>
              <w:rPr>
                <w:rFonts w:ascii="Arial" w:cs="Arial" w:eastAsia="Arial" w:hAnsi="Arial"/>
                <w:sz w:val="16"/>
                <w:szCs w:val="16"/>
                <w:color w:val="auto"/>
              </w:rPr>
              <w:t>—</w:t>
            </w:r>
          </w:p>
        </w:tc>
        <w:tc>
          <w:tcPr>
            <w:tcW w:w="1220" w:type="dxa"/>
            <w:vAlign w:val="bottom"/>
          </w:tcPr>
          <w:p>
            <w:pPr>
              <w:ind w:left="540"/>
              <w:spacing w:after="0"/>
              <w:rPr>
                <w:sz w:val="20"/>
                <w:szCs w:val="20"/>
                <w:color w:val="auto"/>
              </w:rPr>
            </w:pPr>
            <w:r>
              <w:rPr>
                <w:rFonts w:ascii="Arial" w:cs="Arial" w:eastAsia="Arial" w:hAnsi="Arial"/>
                <w:sz w:val="16"/>
                <w:szCs w:val="16"/>
                <w:color w:val="auto"/>
              </w:rPr>
              <w:t>—</w:t>
            </w:r>
          </w:p>
        </w:tc>
        <w:tc>
          <w:tcPr>
            <w:tcW w:w="820" w:type="dxa"/>
            <w:vAlign w:val="bottom"/>
          </w:tcPr>
          <w:p>
            <w:pPr>
              <w:ind w:left="480"/>
              <w:spacing w:after="0"/>
              <w:rPr>
                <w:sz w:val="20"/>
                <w:szCs w:val="20"/>
                <w:color w:val="auto"/>
              </w:rPr>
            </w:pPr>
            <w:r>
              <w:rPr>
                <w:rFonts w:ascii="Arial" w:cs="Arial" w:eastAsia="Arial" w:hAnsi="Arial"/>
                <w:sz w:val="16"/>
                <w:szCs w:val="16"/>
                <w:color w:val="auto"/>
              </w:rPr>
              <w:t>(8)</w:t>
            </w:r>
          </w:p>
        </w:tc>
        <w:tc>
          <w:tcPr>
            <w:tcW w:w="5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364"/>
        </w:trPr>
        <w:tc>
          <w:tcPr>
            <w:tcW w:w="400" w:type="dxa"/>
            <w:vAlign w:val="bottom"/>
          </w:tcPr>
          <w:p>
            <w:pPr>
              <w:spacing w:after="0"/>
              <w:rPr>
                <w:sz w:val="20"/>
                <w:szCs w:val="20"/>
                <w:color w:val="auto"/>
              </w:rPr>
            </w:pPr>
            <w:r>
              <w:rPr>
                <w:rFonts w:ascii="Arial" w:cs="Arial" w:eastAsia="Arial" w:hAnsi="Arial"/>
                <w:sz w:val="16"/>
                <w:szCs w:val="16"/>
                <w:color w:val="auto"/>
              </w:rPr>
              <w:t>—</w:t>
            </w:r>
          </w:p>
        </w:tc>
        <w:tc>
          <w:tcPr>
            <w:tcW w:w="620" w:type="dxa"/>
            <w:vAlign w:val="bottom"/>
          </w:tcPr>
          <w:p>
            <w:pPr>
              <w:ind w:left="240"/>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ind w:left="34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79"/>
              <w:spacing w:after="0"/>
              <w:rPr>
                <w:sz w:val="20"/>
                <w:szCs w:val="20"/>
                <w:color w:val="auto"/>
              </w:rPr>
            </w:pPr>
            <w:r>
              <w:rPr>
                <w:rFonts w:ascii="Arial" w:cs="Arial" w:eastAsia="Arial" w:hAnsi="Arial"/>
                <w:sz w:val="16"/>
                <w:szCs w:val="16"/>
                <w:color w:val="auto"/>
              </w:rPr>
              <w:t>129</w:t>
            </w:r>
          </w:p>
        </w:tc>
        <w:tc>
          <w:tcPr>
            <w:tcW w:w="96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1040" w:type="dxa"/>
            <w:vAlign w:val="bottom"/>
          </w:tcPr>
          <w:p>
            <w:pPr>
              <w:ind w:left="340"/>
              <w:spacing w:after="0"/>
              <w:rPr>
                <w:sz w:val="20"/>
                <w:szCs w:val="20"/>
                <w:color w:val="auto"/>
              </w:rPr>
            </w:pPr>
            <w:r>
              <w:rPr>
                <w:rFonts w:ascii="Arial" w:cs="Arial" w:eastAsia="Arial" w:hAnsi="Arial"/>
                <w:sz w:val="16"/>
                <w:szCs w:val="16"/>
                <w:color w:val="auto"/>
              </w:rPr>
              <w:t>—</w:t>
            </w:r>
          </w:p>
        </w:tc>
        <w:tc>
          <w:tcPr>
            <w:tcW w:w="1220" w:type="dxa"/>
            <w:vAlign w:val="bottom"/>
          </w:tcPr>
          <w:p>
            <w:pPr>
              <w:ind w:left="540"/>
              <w:spacing w:after="0"/>
              <w:rPr>
                <w:sz w:val="20"/>
                <w:szCs w:val="20"/>
                <w:color w:val="auto"/>
              </w:rPr>
            </w:pPr>
            <w:r>
              <w:rPr>
                <w:rFonts w:ascii="Arial" w:cs="Arial" w:eastAsia="Arial" w:hAnsi="Arial"/>
                <w:sz w:val="16"/>
                <w:szCs w:val="16"/>
                <w:color w:val="auto"/>
              </w:rPr>
              <w:t>—</w:t>
            </w:r>
          </w:p>
        </w:tc>
        <w:tc>
          <w:tcPr>
            <w:tcW w:w="820" w:type="dxa"/>
            <w:vAlign w:val="bottom"/>
          </w:tcPr>
          <w:p>
            <w:pPr>
              <w:ind w:left="48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-2246630</wp:posOffset>
            </wp:positionH>
            <wp:positionV relativeFrom="paragraph">
              <wp:posOffset>-1181100</wp:posOffset>
            </wp:positionV>
            <wp:extent cx="712343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23430" cy="162560"/>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-726440</wp:posOffset>
            </wp:positionV>
            <wp:extent cx="7123430" cy="291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23430" cy="29146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-144145</wp:posOffset>
            </wp:positionV>
            <wp:extent cx="712343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3020" w:space="540"/>
            <w:col w:w="7680"/>
          </w:cols>
          <w:pgMar w:left="320" w:top="130" w:right="339" w:bottom="1440" w:gutter="0" w:footer="0" w:header="0"/>
          <w:type w:val="continuous"/>
        </w:sectPr>
      </w:pPr>
    </w:p>
    <w:p>
      <w:pPr>
        <w:ind w:left="40"/>
        <w:spacing w:after="0"/>
        <w:tabs>
          <w:tab w:leader="none" w:pos="3440" w:val="left"/>
          <w:tab w:leader="none" w:pos="4260" w:val="left"/>
          <w:tab w:leader="none" w:pos="4840" w:val="left"/>
          <w:tab w:leader="none" w:pos="6020" w:val="left"/>
          <w:tab w:leader="none" w:pos="6740" w:val="left"/>
          <w:tab w:leader="none" w:pos="7880" w:val="left"/>
          <w:tab w:leader="none" w:pos="8820" w:val="left"/>
          <w:tab w:leader="none" w:pos="10260" w:val="left"/>
        </w:tabs>
        <w:rPr>
          <w:sz w:val="20"/>
          <w:szCs w:val="20"/>
          <w:color w:val="auto"/>
        </w:rPr>
      </w:pPr>
      <w:r>
        <w:rPr>
          <w:rFonts w:ascii="Arial" w:cs="Arial" w:eastAsia="Arial" w:hAnsi="Arial"/>
          <w:sz w:val="16"/>
          <w:szCs w:val="16"/>
          <w:b w:val="1"/>
          <w:bCs w:val="1"/>
          <w:color w:val="auto"/>
        </w:rPr>
        <w:t>Balances as of December 31, 2025</w:t>
      </w:r>
      <w:r>
        <w:rPr>
          <w:sz w:val="20"/>
          <w:szCs w:val="20"/>
          <w:color w:val="auto"/>
        </w:rPr>
        <w:tab/>
      </w:r>
      <w:r>
        <w:rPr>
          <w:rFonts w:ascii="Arial" w:cs="Arial" w:eastAsia="Arial" w:hAnsi="Arial"/>
          <w:sz w:val="16"/>
          <w:szCs w:val="16"/>
          <w:b w:val="1"/>
          <w:bCs w:val="1"/>
          <w:color w:val="auto"/>
        </w:rPr>
        <w:t>459 $</w:t>
      </w:r>
      <w:r>
        <w:rPr>
          <w:sz w:val="20"/>
          <w:szCs w:val="20"/>
          <w:color w:val="auto"/>
        </w:rPr>
        <w:tab/>
      </w:r>
      <w:r>
        <w:rPr>
          <w:rFonts w:ascii="Arial" w:cs="Arial" w:eastAsia="Arial" w:hAnsi="Arial"/>
          <w:sz w:val="16"/>
          <w:szCs w:val="16"/>
          <w:b w:val="1"/>
          <w:bCs w:val="1"/>
          <w:color w:val="auto"/>
        </w:rPr>
        <w:t>5</w:t>
      </w:r>
      <w:r>
        <w:rPr>
          <w:sz w:val="20"/>
          <w:szCs w:val="20"/>
          <w:color w:val="auto"/>
        </w:rPr>
        <w:tab/>
      </w:r>
      <w:r>
        <w:rPr>
          <w:rFonts w:ascii="Arial" w:cs="Arial" w:eastAsia="Arial" w:hAnsi="Arial"/>
          <w:sz w:val="16"/>
          <w:szCs w:val="16"/>
          <w:b w:val="1"/>
          <w:bCs w:val="1"/>
          <w:color w:val="auto"/>
        </w:rPr>
        <w:t>3 $  (225) $</w:t>
        <w:tab/>
        <w:t>6,707 $</w:t>
        <w:tab/>
        <w:t>5,281 $</w:t>
      </w:r>
      <w:r>
        <w:rPr>
          <w:sz w:val="20"/>
          <w:szCs w:val="20"/>
          <w:color w:val="auto"/>
        </w:rPr>
        <w:tab/>
      </w: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b w:val="1"/>
          <w:bCs w:val="1"/>
          <w:color w:val="auto"/>
        </w:rPr>
        <w:t>(1,388) $</w:t>
      </w:r>
      <w:r>
        <w:rPr>
          <w:sz w:val="20"/>
          <w:szCs w:val="20"/>
          <w:color w:val="auto"/>
        </w:rPr>
        <w:tab/>
      </w:r>
      <w:r>
        <w:rPr>
          <w:rFonts w:ascii="Arial" w:cs="Arial" w:eastAsia="Arial" w:hAnsi="Arial"/>
          <w:sz w:val="16"/>
          <w:szCs w:val="16"/>
          <w:b w:val="1"/>
          <w:bCs w:val="1"/>
          <w:color w:val="auto"/>
        </w:rPr>
        <w:t>11 $ 10,390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38100</wp:posOffset>
            </wp:positionV>
            <wp:extent cx="71234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74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w:t>
            </w:r>
          </w:p>
        </w:tc>
        <w:tc>
          <w:tcPr>
            <w:tcW w:w="2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2025</w:t>
            </w:r>
          </w:p>
        </w:tc>
        <w:tc>
          <w:tcPr>
            <w:tcW w:w="280" w:type="dxa"/>
            <w:vAlign w:val="bottom"/>
          </w:tcPr>
          <w:p>
            <w:pPr>
              <w:spacing w:after="0"/>
              <w:rPr>
                <w:sz w:val="19"/>
                <w:szCs w:val="19"/>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2024</w:t>
            </w:r>
          </w:p>
        </w:tc>
        <w:tc>
          <w:tcPr>
            <w:tcW w:w="280" w:type="dxa"/>
            <w:vAlign w:val="bottom"/>
          </w:tcPr>
          <w:p>
            <w:pPr>
              <w:spacing w:after="0"/>
              <w:rPr>
                <w:sz w:val="19"/>
                <w:szCs w:val="19"/>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1"/>
        </w:trPr>
        <w:tc>
          <w:tcPr>
            <w:tcW w:w="74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2,154</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2,050</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1,614</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Less: Income (loss) from discontinued operations, net of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income from continuing operations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2,154</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2,050</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1,618</w:t>
            </w:r>
          </w:p>
        </w:tc>
        <w:tc>
          <w:tcPr>
            <w:tcW w:w="0" w:type="dxa"/>
            <w:vAlign w:val="bottom"/>
          </w:tcPr>
          <w:p>
            <w:pPr>
              <w:spacing w:after="0"/>
              <w:rPr>
                <w:sz w:val="1"/>
                <w:szCs w:val="1"/>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Adjustments to reconcile Net income to Cash from (used for) operating activities – continuing</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0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287</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268</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Gain on remeasurement of Nihon Medi-Physics equity method investment</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(97)</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7400" w:type="dxa"/>
            <w:vAlign w:val="bottom"/>
          </w:tcPr>
          <w:p>
            <w:pPr>
              <w:ind w:left="140"/>
              <w:spacing w:after="0"/>
              <w:rPr>
                <w:sz w:val="20"/>
                <w:szCs w:val="20"/>
                <w:color w:val="auto"/>
              </w:rPr>
            </w:pPr>
            <w:r>
              <w:rPr>
                <w:rFonts w:ascii="Arial" w:cs="Arial" w:eastAsia="Arial" w:hAnsi="Arial"/>
                <w:sz w:val="16"/>
                <w:szCs w:val="16"/>
                <w:color w:val="auto"/>
              </w:rPr>
              <w:t>Net periodic postretirement benefit plan (income) expense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Postretirement plan contributions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(338)</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(332)</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(357)</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Arial" w:cs="Arial" w:eastAsia="Arial" w:hAnsi="Arial"/>
                <w:sz w:val="16"/>
                <w:szCs w:val="16"/>
                <w:color w:val="auto"/>
              </w:rPr>
              <w:t>Share-based compensation</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614</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531</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743</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Arial" w:cs="Arial" w:eastAsia="Arial" w:hAnsi="Arial"/>
                <w:sz w:val="16"/>
                <w:szCs w:val="16"/>
                <w:color w:val="auto"/>
              </w:rPr>
              <w:t>Cash paid during the year for income taxes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(429)</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(474)</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Changes in operating assets and liabilities, excluding the effects of acquisitions: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400" w:type="dxa"/>
            <w:vAlign w:val="bottom"/>
          </w:tcPr>
          <w:p>
            <w:pPr>
              <w:ind w:left="240"/>
              <w:spacing w:after="0"/>
              <w:rPr>
                <w:sz w:val="20"/>
                <w:szCs w:val="20"/>
                <w:color w:val="auto"/>
              </w:rPr>
            </w:pPr>
            <w:r>
              <w:rPr>
                <w:rFonts w:ascii="Arial" w:cs="Arial" w:eastAsia="Arial" w:hAnsi="Arial"/>
                <w:sz w:val="16"/>
                <w:szCs w:val="16"/>
                <w:color w:val="auto"/>
              </w:rPr>
              <w:t>Receivables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(142)</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28"/>
        </w:trPr>
        <w:tc>
          <w:tcPr>
            <w:tcW w:w="7400" w:type="dxa"/>
            <w:vAlign w:val="bottom"/>
          </w:tcPr>
          <w:p>
            <w:pPr>
              <w:ind w:left="240"/>
              <w:spacing w:after="0"/>
              <w:rPr>
                <w:sz w:val="20"/>
                <w:szCs w:val="20"/>
                <w:color w:val="auto"/>
              </w:rPr>
            </w:pPr>
            <w:r>
              <w:rPr>
                <w:rFonts w:ascii="Arial" w:cs="Arial" w:eastAsia="Arial" w:hAnsi="Arial"/>
                <w:sz w:val="16"/>
                <w:szCs w:val="16"/>
                <w:color w:val="auto"/>
              </w:rPr>
              <w:t>Contract and other deferred assets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27"/>
        </w:trPr>
        <w:tc>
          <w:tcPr>
            <w:tcW w:w="7400" w:type="dxa"/>
            <w:vAlign w:val="bottom"/>
          </w:tcPr>
          <w:p>
            <w:pPr>
              <w:ind w:left="24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E4E4E4"/>
            </w:tcBorders>
            <w:shd w:val="clear" w:color="auto" w:fill="E4E4E4"/>
          </w:tcPr>
          <w:p>
            <w:pPr>
              <w:ind w:left="240"/>
              <w:spacing w:after="0"/>
              <w:rPr>
                <w:sz w:val="20"/>
                <w:szCs w:val="20"/>
                <w:color w:val="auto"/>
              </w:rPr>
            </w:pPr>
            <w:r>
              <w:rPr>
                <w:rFonts w:ascii="Arial" w:cs="Arial" w:eastAsia="Arial" w:hAnsi="Arial"/>
                <w:sz w:val="16"/>
                <w:szCs w:val="16"/>
                <w:color w:val="auto"/>
              </w:rPr>
              <w:t>Current compensation and benefits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All other operating activities – net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from (used for) operating activities – continuing operations</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1,987</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1,955</w:t>
            </w:r>
          </w:p>
        </w:tc>
        <w:tc>
          <w:tcPr>
            <w:tcW w:w="28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2,101</w:t>
            </w:r>
          </w:p>
        </w:tc>
        <w:tc>
          <w:tcPr>
            <w:tcW w:w="0" w:type="dxa"/>
            <w:vAlign w:val="bottom"/>
          </w:tcPr>
          <w:p>
            <w:pPr>
              <w:spacing w:after="0"/>
              <w:rPr>
                <w:sz w:val="1"/>
                <w:szCs w:val="1"/>
                <w:color w:val="auto"/>
              </w:rPr>
            </w:pPr>
          </w:p>
        </w:tc>
      </w:tr>
      <w:tr>
        <w:trPr>
          <w:trHeight w:val="229"/>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flows – investing activities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to property, plant and equipment and internal-use software</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(482)</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(401)</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Dispositions of property, plant, and equipment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(378)</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(313)</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investing activities – net</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(69)</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(160)</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9"/>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from (used for) investing activities – continuing operations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(1,047)</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(914)</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(558)</w:t>
            </w:r>
          </w:p>
        </w:tc>
        <w:tc>
          <w:tcPr>
            <w:tcW w:w="0" w:type="dxa"/>
            <w:vAlign w:val="bottom"/>
          </w:tcPr>
          <w:p>
            <w:pPr>
              <w:spacing w:after="0"/>
              <w:rPr>
                <w:sz w:val="1"/>
                <w:szCs w:val="1"/>
                <w:color w:val="auto"/>
              </w:rPr>
            </w:pPr>
          </w:p>
        </w:tc>
      </w:tr>
      <w:tr>
        <w:trPr>
          <w:trHeight w:val="21"/>
        </w:trPr>
        <w:tc>
          <w:tcPr>
            <w:tcW w:w="7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Cash flows – financing activities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Net increase (decrease) in borrowings (maturities of 90 days or less)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Newly issued debt, net of debt issuance costs (maturities longer than 90 days)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2,734</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995</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2,006</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Repayments and other reductions (maturities longer than 90 days)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(1,418)</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(855)</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Dividends paid to stockholders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Redemption of noncontrolling interests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Net transfers (to) from GE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(1,317)</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Proceeds from stock issued under employee benefit plans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Taxes paid related to net share settlement of equity awards</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financing activities – net</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c>
          <w:tcPr>
            <w:tcW w:w="28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29"/>
        </w:trPr>
        <w:tc>
          <w:tcPr>
            <w:tcW w:w="74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Cash from (used for) financing activities – continuing operations</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617</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(573)</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(478)</w:t>
            </w:r>
          </w:p>
        </w:tc>
        <w:tc>
          <w:tcPr>
            <w:tcW w:w="0" w:type="dxa"/>
            <w:vAlign w:val="bottom"/>
          </w:tcPr>
          <w:p>
            <w:pPr>
              <w:spacing w:after="0"/>
              <w:rPr>
                <w:sz w:val="1"/>
                <w:szCs w:val="1"/>
                <w:color w:val="auto"/>
              </w:rPr>
            </w:pPr>
          </w:p>
        </w:tc>
      </w:tr>
      <w:tr>
        <w:trPr>
          <w:trHeight w:val="21"/>
        </w:trPr>
        <w:tc>
          <w:tcPr>
            <w:tcW w:w="7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from (used for) operating activities – discontinued operations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Effect of foreign currency rate changes on cash, cash equivalents, and restricted cash</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Increase (decrease) in cash, cash equivalents, and restricted cash</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1,623</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387</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1,055</w:t>
            </w: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year</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2,893</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2,506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1,451</w:t>
            </w:r>
          </w:p>
        </w:tc>
        <w:tc>
          <w:tcPr>
            <w:tcW w:w="0" w:type="dxa"/>
            <w:vAlign w:val="bottom"/>
          </w:tcPr>
          <w:p>
            <w:pPr>
              <w:spacing w:after="0"/>
              <w:rPr>
                <w:sz w:val="1"/>
                <w:szCs w:val="1"/>
                <w:color w:val="auto"/>
              </w:rPr>
            </w:pP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cash equivalents, and restricted cash at end of year</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4,515</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2,893</w:t>
            </w:r>
          </w:p>
        </w:tc>
        <w:tc>
          <w:tcPr>
            <w:tcW w:w="28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2,506</w:t>
            </w:r>
          </w:p>
        </w:tc>
        <w:tc>
          <w:tcPr>
            <w:tcW w:w="0" w:type="dxa"/>
            <w:vAlign w:val="bottom"/>
          </w:tcPr>
          <w:p>
            <w:pPr>
              <w:spacing w:after="0"/>
              <w:rPr>
                <w:sz w:val="1"/>
                <w:szCs w:val="1"/>
                <w:color w:val="auto"/>
              </w:rPr>
            </w:pPr>
          </w:p>
        </w:tc>
      </w:tr>
      <w:tr>
        <w:trPr>
          <w:trHeight w:val="183"/>
        </w:trPr>
        <w:tc>
          <w:tcPr>
            <w:tcW w:w="74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Supplemental disclosure of cash flows information</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7400" w:type="dxa"/>
            <w:vAlign w:val="bottom"/>
          </w:tcPr>
          <w:p>
            <w:pPr>
              <w:ind w:left="20"/>
              <w:spacing w:after="0"/>
              <w:rPr>
                <w:sz w:val="20"/>
                <w:szCs w:val="20"/>
                <w:color w:val="auto"/>
              </w:rPr>
            </w:pPr>
            <w:r>
              <w:rPr>
                <w:rFonts w:ascii="Arial" w:cs="Arial" w:eastAsia="Arial" w:hAnsi="Arial"/>
                <w:sz w:val="16"/>
                <w:szCs w:val="16"/>
                <w:color w:val="auto"/>
              </w:rPr>
              <w:t>Cash paid during the year for interest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(522)</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(550)</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9"/>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2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00" w:type="dxa"/>
            <w:vAlign w:val="bottom"/>
          </w:tcPr>
          <w:p>
            <w:pPr>
              <w:ind w:left="20"/>
              <w:spacing w:after="0"/>
              <w:rPr>
                <w:sz w:val="20"/>
                <w:szCs w:val="20"/>
                <w:color w:val="auto"/>
              </w:rPr>
            </w:pPr>
            <w:r>
              <w:rPr>
                <w:rFonts w:ascii="Arial" w:cs="Arial" w:eastAsia="Arial" w:hAnsi="Arial"/>
                <w:sz w:val="16"/>
                <w:szCs w:val="16"/>
                <w:color w:val="auto"/>
              </w:rPr>
              <w:t>Acquired but unpaid property, plant, and equipment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164</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143</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9"/>
        </w:trPr>
        <w:tc>
          <w:tcPr>
            <w:tcW w:w="7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70"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GE HealthCare Technologies Inc. is a leading global healthcare solutions provider of advanced medical technology, pharmaceutical diagnostics, and AI, cloud and software solutions.</w:t>
      </w:r>
    </w:p>
    <w:p>
      <w:pPr>
        <w:spacing w:after="0" w:line="19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consolidated financial statements (the “financial statements”) of GE HealthCare Technologies Inc. and its subsidiaries (“GE HealthCare,” the “Company,” “our,” “us,” or “we”) have been prepared in accordance with United States (“U.S.”) generally accepted accounting principles (“U.S. GAAP”) for annual financial information and in accordance with the instructions to Form 10-K. In the opinion of management, all adjustments, including normal recurring adjustments, considered necessary for a fair presentation of the Company’s financial position and operating results have been included. All intercompany balances and transactions within the Company have been eliminated in the financial statements. Tables throughout this document are presented in millions of U.S. dollars unless otherwise stated and certain columns and rows may not sum due to the use of rounded numbers. Percentages presented are calculated from the underlying whole-dollar amounts.</w:t>
      </w:r>
    </w:p>
    <w:p>
      <w:pPr>
        <w:spacing w:after="0" w:line="21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On January 3, 2023, General Electric Company, which now operates as GE Aerospace (“GE”), completed the spin-off of GE HealthCare Technologies Inc. (the “Spin-Off”). Following this transaction, GE continues to be considered a related party due to board member affiliation. Refer to Note 19, “Related Parties and Transition Services Agreement” for further information.</w:t>
      </w:r>
    </w:p>
    <w:p>
      <w:pPr>
        <w:spacing w:after="0" w:line="191"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Certain prior year amounts in the financial statements and notes thereto have been reclassified to conform to the current year presentation. Amounts due from related parties and due to related parties, which were previously shown on separate lines on the Consolidated Statements of Financial Position and Consolidated Statements of Cash Flows, were reclassified to Receivables, All other current assets, Accounts Payable, All other current liabilities, and All other operating activities – net as applicable. Additionally, gain on fair value remeasurement of contingent consideration amounts, which was previously shown on a separate line on the Consolidated Statements of Cash Flows, was reclassified to All other operating activities – net.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ESTIMATES AND ASSUMPTIONS.</w:t>
      </w:r>
    </w:p>
    <w:p>
      <w:pPr>
        <w:spacing w:after="0" w:line="24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based on assumptions about current, and for some estimates, future, economic and market conditions, which affect the reported amounts and related disclosures in the financial statements. We base our estimates and judgments on historical experience and on various other assumptions and information that we believe to be reasonable under the circumstances. Estimates are used for, but are not limited to, determining the following: revenue from contracts with customers; recoverability of long-lived assets and inventory; valuation of goodwill and intangible assets; useful lives used in depreciation and amortization; asset retirement obligations; income taxes and related valuation allowances; accruals for contingencies including legal and product warranties; actuarial assumptions used to determine costs of pension and other postretirement benefits; valuation of pension assets; valuation and recoverability of receivables; valuation of derivatives; and valuation of assets acquired, liabilities assumed, and contingent consideration as a result of acquisitions. Although our estimates contemplate current and expected future conditions, as applicable, it is reasonably possible that actual conditions could differ from our expectations, which could materially affect our results of operations, financial position, and cash flows.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26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revenues primarily consist of sales of products and services to customers. Products include equipment, imaging agents, software-related offerings, and upgrades. Services include contractual and stand-by preventative maintenance and corrective services, as well as related parts and labor, extended warranties, training, and other service-type offerings. The Company recognizes revenue from contracts with customers when the customer obtains control of the underlying products or services.</w:t>
      </w:r>
    </w:p>
    <w:p>
      <w:pPr>
        <w:spacing w:after="0" w:line="200"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Company recognizes a contract with a customer when there is a legally enforceable agreement between the Company and its customer, the rights of the parties are identified, the contract has commercial substance, and collectability of the contract consideration is probable. The Company’s revenues are measured based on the consideration specified in the contract with each customer net of any sales incentives, discounts, returns, chargebacks, group purchasing organization fees, rebates, or credits, as well as taxes collected from customers that are remitted to government authorities. Our estimates for these deductions, which are accounted for as variable consideration, are based on historical experience and consider current and forecasted market trends. We record these estimated amounts as a reduction to revenue when we recognize the related product or service sales. Payment terms are generally within 12 months. Payment terms within 12 months are not treated as significant financing components.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Contracts for the sale of products and services often include multiple distinct performance obligations, usually involving an upfront deliverable of equipment and future performance obligations such as installation, training, or the future delivery of products or services. If a contract contains more than one performance obligation, the transaction price is allocated to each performance obligation based on relative stand-alone selling price. Stand-alone selling price is obtained from sources such as the separate selling price for that or a similar item if reasonably available. If such evidence is not reasonably available, we use our best estimate of selling price, which is established consistent with the pricing strategy of the Company and considers product configuration, geography, customer type, and other market-specific factors.</w:t>
      </w:r>
    </w:p>
    <w:p>
      <w:pPr>
        <w:spacing w:after="0" w:line="203"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Revenue is recognized in the period in which the customer obtains control of the underlying products or services, allowing them the ability to direct the use of, and obtain substantially all of, the remaining benefits of such product or service. This may occur at a point in time or over time. Shipping and handling costs to deliver products to customers are expensed as incurred and recognized within Cost of products or Cost of services in our Consolidated Statements of Income.</w:t>
      </w:r>
    </w:p>
    <w:p>
      <w:pPr>
        <w:spacing w:after="0" w:line="19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For standard, assurance-type warranties that are provided with products, we estimate the cost that may be incurred during the warranty period and record a liability at the time the revenue is recognized. The provision recorded reflects the estimated costs of replacement and free-of-charge services that will be incurred related to the products sold. Service-type warranties or extended warranties sold with products are considered separate performance obligations. As such, a portion of the overall transaction price is allocated to these performance obligations and recognized in revenue over time, as the performance obligations are satisfied.</w:t>
      </w:r>
    </w:p>
    <w:p>
      <w:pPr>
        <w:spacing w:after="0" w:line="199"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Company capitalizes certain direct incremental costs incurred to obtain a contract, primarily commissions. Costs to obtain a contract are classified within Contract and other deferred assets or All other non-current assets in the Consolidated Statements of Financial Position and are recognized within Selling, general, and administrative (“SG&amp;A”) in the Consolidated Statements of Income based on the timing of when the Company expects to earn related revenues. Management assesses these costs for impairment based on periodic assessments of recoverability.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Obligations Satisfied at a Point in Time</w:t>
      </w:r>
    </w:p>
    <w:p>
      <w:pPr>
        <w:spacing w:after="0" w:line="19"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We primarily recognize revenue from sales of products at the point in time that the customer obtains control, which is generally no earlier than when the customer has physical possession. Our billing terms for these point-in-time product contracts generally coincide with delivery to the customer and customer acceptance; however, periodically, we transfer control of products in advance of billing or we receive customer advances and deposits from customers in advance of transfer of control of products which are recognized as contract assets or contract liabilities, respectively, in the Consolidated Statements of Financial Position. Any differences between the timing of our revenue recognition and customer billings (based on contractual terms) result in changes to our contract asset or contract liability positions.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Obligations Satisfied Over Time</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recognize revenue from the sale of certain service contracts, including preventative maintenance, corrective services, and extended warranties over time on a ratable basis consistent with the nature, timing, and extent of our services, which primarily relate to routine maintenance and as-needed product repairs. Our billing terms for these contracts vary and can occur in advance of or following the period of service; however, we generally invoice periodically as services are provided. The differences between the timing of our revenue recognized and customer billings (based on contractual terms) result in changes to our contract asset or contract liability positions.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See Note 3, “Revenue Recognition”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4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Cash deposits, short-term investments, and high-liquidity mutual funds with original maturities of three months or less are included in Cash, cash equivalents, and restricted cash in the Consolidated Statements of Financial Position. Restricted cash primarily relates to funds restricted in connection with escrow accounts and other contractual and legal restrictions.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SECURITIES.</w:t>
      </w:r>
    </w:p>
    <w:p>
      <w:pPr>
        <w:spacing w:after="0" w:line="248"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Publicly traded equity securities for which we do not have the ability to exercise significant influence are recorded at fair value with changes in fair value recognized in Other (income) expense – net in the Consolidated Statements of Income. Certain private equity securities for which we do have the ability to exercise significant influence are also recorded at fair value with changes in fair value recognized in Other (income) expense – net in the Consolidated Statements of Income based on an election made. Privately held equity securities for which we do not have the ability to exercise significant influence are accounted for using the measurement alternative approach and are recorded at cost less impairment, if any, adjusted to fair value for any observable price changes in orderly transactions for the identical or a similar investment of the same issuer, with changes in the measurement recognized through Other (income) expense – net in the Consolidated Statements of Income. Equity investments without readily determinable fair value as of December 31, 2025 and 2024 were $217 million and $176 million, respectively. Investment securities are recognized within All other non-current assets in the Consolidated Statements of Financial Position.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METHOD INVESTMENTS.</w:t>
      </w:r>
    </w:p>
    <w:p>
      <w:pPr>
        <w:spacing w:after="0" w:line="24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Investments in equity securities in which we do not have a controlling financial interest, but over which we have significant influence are accounted for using the equity method of accounting, or at fair value if we elect the fair value option. Equity method investments are assessed for other-than-temporary impairment when events occur or circumstances change that indicate it is more likely than not the fair value of the asset is below its carrying value. Equity method investments are recognized within All other non-current assets in the Consolidated Statements of Financial Position. Our share of the results of equity method investments is recognized within Other (income) expense – net in the Consolidated Statements of Income.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RECEIVABLES.</w:t>
      </w:r>
    </w:p>
    <w:p>
      <w:pPr>
        <w:spacing w:after="0" w:line="248" w:lineRule="exact"/>
        <w:rPr>
          <w:sz w:val="20"/>
          <w:szCs w:val="20"/>
          <w:color w:val="auto"/>
        </w:rPr>
      </w:pPr>
    </w:p>
    <w:p>
      <w:pPr>
        <w:ind w:right="380"/>
        <w:spacing w:after="0" w:line="304" w:lineRule="auto"/>
        <w:rPr>
          <w:sz w:val="20"/>
          <w:szCs w:val="20"/>
          <w:color w:val="auto"/>
        </w:rPr>
      </w:pPr>
      <w:r>
        <w:rPr>
          <w:rFonts w:ascii="Arial" w:cs="Arial" w:eastAsia="Arial" w:hAnsi="Arial"/>
          <w:sz w:val="16"/>
          <w:szCs w:val="16"/>
          <w:color w:val="auto"/>
        </w:rPr>
        <w:t>Amounts due from customers arising from the sales of products and services are recorded at the outstanding amount, less allowances for credit losses, chargebacks, and other credits. We regularly monitor the recoverability of our receivables.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See Note 5, “Receivables”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FINANCING RECEIVABLES.</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financing receivables portfolio consists of a variety of loans and leases, including both larger-balance, non-homogeneous loans and leases, and smaller-balance homogeneous loans and leases.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Loans</w:t>
      </w:r>
    </w:p>
    <w:p>
      <w:pPr>
        <w:spacing w:after="0" w:line="1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Loans represent term loans that are collateralized by equipment and other assets. Loans are classified as either held for sale or held for investment (“HFI”) based on management’s intent and ability to hold the loans for the foreseeable future. Loans where the Company does not have the ability and intent to hold for investment purposes and those where the Company intends to hold for sale in the foreseeable future are accounted for as loans held for sale. Loans held for sale are recorded at the lower of cost or current fair value with any fair value write-down (or change to the write-down) recorded as a valuation allowance through current period earnings in the period in which the change occurs. Loans classified as HFI are recorded at amortized cost.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in Finance Leases</w:t>
      </w:r>
    </w:p>
    <w:p>
      <w:pPr>
        <w:spacing w:after="0" w:line="19" w:lineRule="exact"/>
        <w:rPr>
          <w:sz w:val="20"/>
          <w:szCs w:val="20"/>
          <w:color w:val="auto"/>
        </w:rPr>
      </w:pPr>
    </w:p>
    <w:p>
      <w:pPr>
        <w:ind w:right="460"/>
        <w:spacing w:after="0" w:line="283" w:lineRule="auto"/>
        <w:rPr>
          <w:sz w:val="20"/>
          <w:szCs w:val="20"/>
          <w:color w:val="auto"/>
        </w:rPr>
      </w:pPr>
      <w:r>
        <w:rPr>
          <w:rFonts w:ascii="Arial" w:cs="Arial" w:eastAsia="Arial" w:hAnsi="Arial"/>
          <w:sz w:val="16"/>
          <w:szCs w:val="16"/>
          <w:color w:val="auto"/>
        </w:rPr>
        <w:t>Finance leases include mostly sales-type leases of equipment and represent net unpaid rentals and estimated unguaranteed residual values of leased equipment, less related deferred income and the allowance for credit losses.</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See Note 7, “Leases” for further information on our finance leases and “Allowance for credit losses” below for the Company’s policy regarding allowances for credit losses on financing receivables.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Quality Indicators</w:t>
      </w:r>
    </w:p>
    <w:p>
      <w:pPr>
        <w:spacing w:after="0" w:line="19"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manage our financing receivables portfolio using delinquency and nonaccrual data as key performance indicators. We assess the overall quality of the portfolio based on a potential risk of loss measure. The metric incorporates both the borrower’s credit quality along with any related collateral protection. Financing receivables are considered past due if default on a contractual principal or interest payment exists for a period of 30 days or more. We stop accruing interest on financing receivables at the earlier of when collection of an account becomes doubtful or the account becomes 90 days past due. Although we stop accruing interest in advance of payments, we recognize income within Other (income) expense – net in the Consolidated Statements of Income when we determine that the account is returned to accrual status, provided that the amount does not exceed that which would have been earned at the historical effective interest rate.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Note 6, “Financing Receivables”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ALLOWANCE FOR CREDIT LOSSES.</w:t>
      </w:r>
    </w:p>
    <w:p>
      <w:pPr>
        <w:spacing w:after="0" w:line="262" w:lineRule="exact"/>
        <w:rPr>
          <w:sz w:val="20"/>
          <w:szCs w:val="20"/>
          <w:color w:val="auto"/>
        </w:rPr>
      </w:pPr>
    </w:p>
    <w:p>
      <w:pPr>
        <w:jc w:val="both"/>
        <w:ind w:right="40"/>
        <w:spacing w:after="0" w:line="260" w:lineRule="auto"/>
        <w:rPr>
          <w:sz w:val="20"/>
          <w:szCs w:val="20"/>
          <w:color w:val="auto"/>
        </w:rPr>
      </w:pPr>
      <w:r>
        <w:rPr>
          <w:rFonts w:ascii="Arial" w:cs="Arial" w:eastAsia="Arial" w:hAnsi="Arial"/>
          <w:sz w:val="16"/>
          <w:szCs w:val="16"/>
          <w:color w:val="auto"/>
        </w:rPr>
        <w:t>When we record customer receivables, contract assets, and financing receivables, we maintain an allowance for credit losses for the current expected credit losses. Each period, the allowance for credit losses is adjusted through earnings to reflect expected credit losses over the remaining lives of the assets. The credit losses are recognized within SG&amp;A in the Consolidated Statements of Income. For financing receivables, expected credit losses are calculated based on the gross carrying amount of the financial asset, multiplied by a factor reflecting the probability of default and the loss in the event of default. We routinely evaluate our entire portfolio for potential specific credit or collection issues that might indicate an impairment.</w:t>
      </w:r>
    </w:p>
    <w:p>
      <w:pPr>
        <w:spacing w:after="0" w:line="21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estimate expected credit losses based on relevant information from past events, including historical experience, current conditions, and reasonable and supportable forecasts that affect the collectability of the reported amount. When measuring expected credit losses, we pool assets with similar credit risk characteristics. Changes in the relevant information may significantly affect the estimates of expected credit losses.</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INVENTORIES.</w:t>
      </w:r>
    </w:p>
    <w:p>
      <w:pPr>
        <w:spacing w:after="0" w:line="24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Inventories are stated at lower of cost or net realizable values. Cost of inventories is determined on a first-in, first-out basis. Inventories are generally classified as current, however, based on consumption timelines, certain inventories are considered non-current and are recognized, net of related reserves, within All other non-current assets in the Consolidated Statements of Financial Position. As necessary, we record provisions and write-downs for excess, slow moving, and obsolete inventory. To determine these amounts, we regularly review inventory quantities on hand and compare them to historical utilization and estimates of future product demand, market conditions, and technological developments.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24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Property, plant, and equipment is stated at cost and is depreciated on a straight-line basis over its estimated useful life. Estimated useful lives generally range from 8 to 40 years for buildings, structures and related equipment, 3 to 20 years for machinery and equipment, and 1 to 16 years for leasehold improvements. Repair and maintenance costs are expensed as incurred. Property, plant and equipment is reviewed for impairment when events or changes in circumstances indicate that the related carrying amounts may not be recoverable. In such circumstances, assets are tested for impairment based on undiscounted cash flows and, if impaired, written down to estimated fair value based on either discounted cash flows or appraised values.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Lessee Arrangements</w:t>
      </w:r>
    </w:p>
    <w:p>
      <w:pPr>
        <w:spacing w:after="0" w:line="19"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At lease commencement, we record a lease liability and corresponding right-of-use (“ROU”) asset. ROU assets are recognized within Property, plant, and equipment – net and lease liabilities are recognized within All other current liabilities and All other non-current liabilities in the Consolidated Statements of Financial Position. Options to extend a lease are included as part of the ROU lease asset and liability at commencement when it is reasonably certain the Company will exercise the option. We have elected to combine lease and non-lease components in determining our lease liability, primarily for real estate leases. Non-lease components are generally related to services that the lessor performs for the Company associated with the leased asset. As the Company’s leases typically do not provide an implicit rate, the present value of our lease liability is determined using our incremental collateralized borrowing rate at lease commencement for leases that commenced post-Spin-Off and GE’s incremental collateralized borrowing rate at lease commencement for leases that commenced pre-Spin-Off. For leases with an initial term of 12 months or less, an ROU asset and lease liability are not recognized, and lease expense is recognized on a straight-line basis over the lease term. Certain of our leases include provisions for variable lease payments which are based on, but not limited to, maintenance, insurance, taxes, index escalations, and usage-based amounts. The Company recognizes variable lease payments not included in its lease liabilities in the period in which the obligation for those payments is incurred. We review ROU assets for impairment annually or when events occur or circumstances change that indicate that the asset may be impaired.</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Lessor Arrangements</w:t>
      </w:r>
    </w:p>
    <w:p>
      <w:pPr>
        <w:spacing w:after="0" w:line="19" w:lineRule="exact"/>
        <w:rPr>
          <w:sz w:val="20"/>
          <w:szCs w:val="20"/>
          <w:color w:val="auto"/>
        </w:rPr>
      </w:pPr>
    </w:p>
    <w:p>
      <w:pPr>
        <w:ind w:right="280"/>
        <w:spacing w:after="0" w:line="264" w:lineRule="auto"/>
        <w:rPr>
          <w:sz w:val="20"/>
          <w:szCs w:val="20"/>
          <w:color w:val="auto"/>
        </w:rPr>
      </w:pPr>
      <w:r>
        <w:rPr>
          <w:rFonts w:ascii="Arial" w:cs="Arial" w:eastAsia="Arial" w:hAnsi="Arial"/>
          <w:sz w:val="16"/>
          <w:szCs w:val="16"/>
          <w:color w:val="auto"/>
        </w:rPr>
        <w:t>Equipment leased to others under operating leases is recognized within Property, plant, and equipment – net in the Consolidated Statements of Financial Position. Leases classified as sales-type leases or direct finance leases are recognized within All other current assets and All other non-current assets, respectively, in the Consolidated Statements of Financial Position. The terms of the related contracts, including the proportion of fixed versus variable payments and any options to shorten or extend the lease term or purchase the underlying asset, vary by customer.</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See Note 6, “Financing Receivables” and Note 7, “Leases”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OTHER INTANGIBLE ASSETS.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Goodwill and Acquired Intangibles</w:t>
      </w:r>
    </w:p>
    <w:p>
      <w:pPr>
        <w:spacing w:after="0" w:line="19" w:lineRule="exact"/>
        <w:rPr>
          <w:sz w:val="20"/>
          <w:szCs w:val="20"/>
          <w:color w:val="auto"/>
        </w:rPr>
      </w:pPr>
    </w:p>
    <w:p>
      <w:pPr>
        <w:ind w:right="40"/>
        <w:spacing w:after="0" w:line="232" w:lineRule="auto"/>
        <w:rPr>
          <w:sz w:val="20"/>
          <w:szCs w:val="20"/>
          <w:color w:val="auto"/>
        </w:rPr>
      </w:pPr>
      <w:r>
        <w:rPr>
          <w:rFonts w:ascii="Arial" w:cs="Arial" w:eastAsia="Arial" w:hAnsi="Arial"/>
          <w:sz w:val="16"/>
          <w:szCs w:val="16"/>
          <w:color w:val="auto"/>
        </w:rPr>
        <w:t>Goodwill represents the excess of the purchase price over the fair value of identifiable net assets acquired in a business combination. We test goodwill for impairment at the reporting unit level annually in the fourth quarter of each year as of October 1</w:t>
      </w:r>
      <w:r>
        <w:rPr>
          <w:rFonts w:ascii="Arial" w:cs="Arial" w:eastAsia="Arial" w:hAnsi="Arial"/>
          <w:sz w:val="21"/>
          <w:szCs w:val="21"/>
          <w:color w:val="auto"/>
          <w:vertAlign w:val="superscript"/>
        </w:rPr>
        <w:t>st</w:t>
      </w:r>
      <w:r>
        <w:rPr>
          <w:rFonts w:ascii="Arial" w:cs="Arial" w:eastAsia="Arial" w:hAnsi="Arial"/>
          <w:sz w:val="16"/>
          <w:szCs w:val="16"/>
          <w:color w:val="auto"/>
        </w:rPr>
        <w:t>, or more frequently when an event occurs or circumstances change that would more likely than not reduce the fair value of a reporting unit below its carrying value.</w:t>
      </w: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When testing goodwill for impairment, the Company may first assess qualitative factors. If an initial qualitative assessment identifies that it is more likely than not that the fair value of a reporting unit is less than its carrying value, additional quantitative testing is performed. The Company may also elect to skip the qualitative testing and proceed directly to the quantitative testing. If the quantitative testing indicates that goodwill is impaired, an impairment charge is recognized based on the difference between the reporting unit’s carrying value and its fair value. When performing a quantitative test, the market approach is typically used for estimating the fair values for our reporting units. Under the market approach, we estimate the fair value based on market multiples of earnings derived from comparable publicly traded companies with operating and investment characteristics similar to the reporting unit. Depending on the specific reporting unit circumstances, we may also consider performing a valuation based on an income approach. It is reasonably possible that the judgments and estimates used could change in future periods.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In-process research and development (“IPR&amp;D”) acquired as part of a business acquisition is capitalized at fair value when acquired and is considered an indefinite-lived intangible asset. We test indefinite-lived intangible assets for impairment annually in the third quarter of each year or when events occur or circumstances change that indicate it is more likely than not the fair value of the asset is below its carrying value. When testing IPR&amp;D for impairment, the Company may first assess qualitative factors. If an initial qualitative assessment identifies that it is more likely than not that the fair value of the IPR&amp;D is less than its carrying value, additional quantitative testing is performed. The Company may also elect to skip the qualitative testing and proceed directly to the quantitative testing. If the quantitative testing indicates that the IPR&amp;D is impaired, an impairment charge is recognized based on the difference between the IPR&amp;D’s carrying value and its fair value. When the IPR&amp;D project is complete, the asset is considered a finite-lived intangible asset and subject to an impairment test at that date. Thereafter, the resulting asset is amortized over its estimated useful life and is subject to impairment assessments in the same manner as all amortizing intangible assets.</w:t>
      </w:r>
    </w:p>
    <w:p>
      <w:pPr>
        <w:spacing w:after="0" w:line="21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For other intangible assets that are not deemed indefinite-lived, the cost of the intangible asset is amortized on a straight-line basis over the asset’s estimated useful life. Amortizable intangible assets are reviewed for impairment when events or changes in circumstances indicate that the related carrying amounts may not be recoverable. In such circumstances, they are tested for impairment based on undiscounted cash flows and, if impaired, written down to estimated fair value based on either discounted cash flows or appraised values.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Internal-use Software</w:t>
      </w:r>
    </w:p>
    <w:p>
      <w:pPr>
        <w:spacing w:after="0" w:line="2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Internal-use software is software that is developed, purchased, or modified to meet internal needs and for which no substantive plan exists to sell, lease, or otherwise market the software externally. All costs associated with project tasks classified in the preliminary project development or post-implementation/operation stage are expensed as incurred. Capitalization of application development stage costs begins after both of the following occur: (1) the preliminary project development stage is completed and (2) management authorizes and commits to funding the software project and it is probable that the project will be completed and the software will be used for the purpose for which it was intended. Capitalization ceases when the project is substantially complete. Capitalized amounts are recognized within Other intangible assets – net in the Consolidated Statements of Financial Position and are amortized on a straight-line basis over the asset’s estimated useful life.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Capitalized cloud computing arrangement implementation costs</w:t>
      </w:r>
    </w:p>
    <w:p>
      <w:pPr>
        <w:spacing w:after="0" w:line="2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For cloud computing arrangements that are considered a service contract, our capitalization of implementation costs is aligned with the internal-use software requirements. Capitalized amounts are recognized within All other non-current assets in the Consolidated Statements of Financial Position and are amortized on a straight-line basis over the expected term of the related service contract.</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External-use Software</w:t>
      </w:r>
    </w:p>
    <w:p>
      <w:pPr>
        <w:spacing w:after="0" w:line="19"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External-use software relates to software that is (1) intended to be sold, licensed, or marketed to our customers or (2) embedded and integral to our tangible products for which research and development (“R&amp;D”) has been completed. Costs that are related to the conceptual formulation and design of software are expensed as incurred. Costs that are incurred after technological feasibility has been established until general release of the product are capitalized as an intangible asset and recognized within Other intangible assets – net in the Consolidated Statements of Financial Position. Capitalized costs for software to be sold, leased, or otherwise marketed are amortized on an individual product basis using straight-line amortization over the estimated useful life of the product. The Company performs regular reviews to assess whether unamortized capitalized external use software program costs remain recoverable through future revenue.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Note 8, “Acquisitions, Goodwill, and Other Intangible Assets” and Note 18, “Supplemental Financial Information”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62"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We use derivative contracts to reduce the volatility of earnings and cash flows associated with risks related to foreign currency exchange rates, interest rates, and equity prices. Our policy is to use derivatives solely for managing risks and not for speculative purposes.</w:t>
      </w:r>
    </w:p>
    <w:p>
      <w:pPr>
        <w:spacing w:after="0" w:line="196"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We employ the following hedge types: (1) cash flow hedges of foreign currency risk associated with third-party and intercompany foreign currency-denominated forecasted transactions and firm commitments, (2) net investment hedges of foreign currency risk associated with investments in foreign operations, (3) fair value hedges of interest rate risk associated with long-term borrowings, and (4) economic hedges not designated as qualifying hedging relationships of foreign currency risk associated with monetary assets and liabilities, including intercompany balances and equity price risk.</w:t>
      </w:r>
    </w:p>
    <w:p>
      <w:pPr>
        <w:spacing w:after="0" w:line="200"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For net investment hedges, changes in the fair value of the components of the hedging derivatives excluded from the assessment of hedge effectiveness are deferred and amortized to earnings in the Consolidated Statements of Income using a systematic and rational method over the life of the derivative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5" w:name="page66"/>
    <w:bookmarkEnd w:id="6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Contracts that do not in their entirety meet the definition of a derivative instrument and are not measured at fair value may contain embedded features affecting some or all of the cash flows or value of other exchanges that would otherwise be considered derivatives when assessed separately from the host contract. Such embedded features are separated from the host contract and accounted for as a derivative measured at fair value if their economic characteristics and risks are not clearly and closely related to those of the host contract.</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Uncertain tax positions that meet the more likely than not recognition threshold are included in the financial statements. Such uncertain tax positions are measured at the largest amount of benefit that the Company believes has a greater than 50% likelihood of realization upon settlement. Our policy is to adjust these reserves when facts and circumstances change, such as the change in the technical merit of a position, an uncertain tax position is effectively settled with the relevant taxing authority, or the statute of limitations has expired. Penalties and interest related to income tax matters are recognized within Benefit (provision) for income taxes in the Consolidated Statements of Income.</w:t>
      </w:r>
    </w:p>
    <w:p>
      <w:pPr>
        <w:spacing w:after="0" w:line="19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respective tax basis, as well as net operating loss and tax credit carryforwards. The deferred income tax balances are stated at enacted tax rates expected to be in effect when those taxes are paid or recovered. Deferred income tax assets represent amounts available to reduce income taxes payable on taxable income in future years. We evaluate the recoverability of these future tax deductions and credits considering all available positive and negative evidence, including the impact of the Tax Matters Agreement with GE, specifically assessing the adequacy of future expected taxable income from all sources, including reversal of existing taxable temporary differences, forecasted operating earnings, taxable income in prior carryback years, if applicable, and available tax planning strategies. To the extent we consider it more likely than not that a deferred tax asset will not be recovered, a valuation allowance is established to reduce its carrying value to the amount that is more likely than not to be realized. Deferred taxes are provided for the outside basis difference of certain investments in non-U.S. affiliates and associated companies based upon our evaluation of the undistributed earnings of such entities if the permanently reinvested assumption cannot be made.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See Note 11, “Income Taxes” and Note 19, “Related Parties and Transition Services Agreement”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BENEFIT PLANS.</w:t>
      </w:r>
    </w:p>
    <w:p>
      <w:pPr>
        <w:spacing w:after="0" w:line="24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We measure our plan assets at fair value and categorize plan assets for disclosure purposes in accordance with the fair value hierarchy. Certain assets for which the fair value is measured using the net asset value (“NAV”) per share (or its equivalent) as a practical expedient are excluded from the fair value hierarchy. The components of net periodic benefit costs, other than the service cost component, are recognized within Non-operating benefit (income) costs in the Consolidated Statements of Income for plans sponsored by the Company.</w:t>
      </w:r>
    </w:p>
    <w:p>
      <w:pPr>
        <w:spacing w:after="0" w:line="21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We engage third-party actuaries to assist in the determination of benefit obligations and related net periodic benefit costs. We develop significant long-term assumptions, including discount rates and the expected rate of return on assets in connection with our pension accounting. In the fourth quarter of each fiscal year and whenever a plan is determined to qualify for a remeasurement, we recognize differences between expected long-term return on plan assets and actual returns, and net actuarial gains and losses for the pension plan liabilities within the Consolidated Statements of Comprehensive Income (Loss).</w:t>
      </w:r>
    </w:p>
    <w:p>
      <w:pPr>
        <w:spacing w:after="0" w:line="20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amortize gains and losses, as well as the effects of changes in actuarial assumptions and plan provisions, that exceed 10% of the greater of the market related value of plan assets or benefit obligations, determined as of the beginning of the year. The period over which gains and losses are amortized to earnings is generally over the average remaining life expectancy of plan participants.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Note 10, “Postretirement Benefit Plans”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LOSS CONTINGENCIES.</w:t>
      </w:r>
    </w:p>
    <w:p>
      <w:pPr>
        <w:spacing w:after="0" w:line="262"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Loss contingencies are uncertain and unresolved matters that arise in the ordinary course of business and result from events that have the potential to result in a future loss. Such contingencies include, but are not limited to, product warranties, claims, litigation, environmental obligations, regulatory investigations and proceedings, product quality, and losses resulting from other events and developments. When a loss is considered probable and reasonably estimable, we record a liability in the amount of our best estimate for the loss. When there appears to be a range of possible losses with equal likelihood, liabilities are based on the low end of such range. Disclosure is provided for material loss contingencies when a loss is probable and a reasonable estimate can be made, when a loss is probable but a reasonable estimate cannot be made, and when it is reasonably possible that a loss will be incurred or the amount of a loss will exceed the recorded provision. We regularly review contingencies to determine whether the likelihood of loss has changed and to assess whether a reasonable estimate of the loss or range of loss can be made. Legal costs incurred in connection with loss contingencies are expensed as incurred.</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See Note 14, “Commitments, Guarantees, Product Warranties, and Other Loss Contingencies” for further information.</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24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Our operations involve the use, disposal, and cleanup of substances regulated under nuclear decommissioning regulations that require asset retirement obligations. Liabilities for nuclear decommissioning exclude possible insurance recoveries. Due to uncertainties or changes regarding the status of laws, regulations, technology, and information related to individual sites and lawsuits, it is reasonably possible that our exposure will exceed amounts accrued, and amounts not currently reasonably estimable and/or probable may need to be accrued in future periods. We record asset retirement obligations associated with the retirement of tangible long-lived assets as a liability in the period in which the obligation is incurred and its fair value can be reasonably estimated. The liability is measured at the present value of the obligation when incurred and is adjusted in subsequent periods. Corresponding asset retirement costs are generally capitalized as part of the carrying value of the related long-lived assets and depreciated over the assets’ useful lives.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See Note 14, “Commitments, Guarantees, Product Warranties, and Other Loss Contingencies”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48"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Company participates in voluntary supply chain finance programs which provide participating suppliers the opportunity to sell their GE HealthCare receivables to third parties at the sole discretion of both the suppliers and the third parties. We evaluate supply chain finance programs to ensure the use of a third-party intermediary to settle our trade payables does not change the nature, existence, amount, or timing of our trade payables and does not provide the Company with any direct economic benefit. If any characteristics of the trade payables change or we receive a direct economic benefit, we reclassify the trade payables to borrowings. In connection with the supply chain finance programs, payment terms normally range from 30 to 180 days, depending on the underlying supplier agreements.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See Note 18, “Supplemental Financial Information”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6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following sections describe the valuation methodologies we use to measure financial and non-financial instruments at fair value including certain assets within our postretirement benefit plans. Observable inputs for fair value measurements reflect market data obtained from independent sources, while unobservable inputs reflect our market assumptions. These inputs establish the following fair value hierarchy:</w:t>
      </w:r>
    </w:p>
    <w:p>
      <w:pPr>
        <w:spacing w:after="0" w:line="23"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1 — Quoted prices for identical instruments in active markets.</w:t>
      </w:r>
    </w:p>
    <w:p>
      <w:pPr>
        <w:spacing w:after="0" w:line="21" w:lineRule="exact"/>
        <w:rPr>
          <w:rFonts w:ascii="Arial" w:cs="Arial" w:eastAsia="Arial" w:hAnsi="Arial"/>
          <w:sz w:val="16"/>
          <w:szCs w:val="16"/>
          <w:color w:val="auto"/>
        </w:rPr>
      </w:pPr>
    </w:p>
    <w:p>
      <w:pPr>
        <w:ind w:left="660" w:right="240" w:hanging="328"/>
        <w:spacing w:after="0" w:line="252"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3 — Significant inputs to the valuation model are unobservable.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RECURRING FAIR VALUE MEASUREMENTS.</w:t>
      </w:r>
    </w:p>
    <w:p>
      <w:pPr>
        <w:spacing w:after="0" w:line="248"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For financial assets and liabilities measured at fair value on a recurring basis, primarily money market funds, investment securities, derivatives, and contingent consideration, fair value is the price we would receive to sell an asset or pay to transfer a liability in an orderly transaction with a market participant at the measurement date. In the absence of active markets for the identical assets or liabilities, such measurements involve developing assumptions based on market observable data and, in the absence of such data, internal information that is consistent with what market participants would use in a hypothetical transaction that occurs at the measurement date.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Money Market Funds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Money market funds are valued using pricing information from the fund managers, quoted on a daily basis, and are considered Level 2 inputs.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 Securities</w:t>
      </w:r>
    </w:p>
    <w:p>
      <w:pPr>
        <w:spacing w:after="0" w:line="2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Publicly traded equity securities are valued using Level 1 quoted price inputs. Non-publicly traded equity securities for which the fair value option was elected are classified within Level 3 and are valued using unobservable inputs, primarily by discounting expected future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2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The majority of our derivatives are valued using model-derived offers received from financial institutions for similar over-the-counter instruments without an active market or internal models. The models maximize observable inputs including interest rates and both forward and spot prices for currencies. As of December 31, 2025 and 2024, foreign currency contracts, interest rate contracts, embedded derivatives, and equity-linked total return swaps were valued using Level 2 inputs.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7" w:name="page68"/>
    <w:bookmarkEnd w:id="6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When an acquisition involves a contingent consideration arrangement, we record on the date of acquisition a liability for the fair value of the estimated additional consideration we may be obligated to pay in the future. The fair value is based upon estimates of future financial projections under various potential scenarios using a probability-weighted expected payment model discounted to present value. The estimates used to determine the fair value are subject to significant judgment and as such are considered Level 3 inputs. We subsequently remeasure such liabilities at the end of each reporting period and record changes in the fair value within SG&amp;A in the Consolidated Statements of Income.</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Investments in Annuity Contracts, Private Equity, Real Estate and Collective Funds held within our Postretirement Benefit Plans</w:t>
      </w:r>
    </w:p>
    <w:p>
      <w:pPr>
        <w:spacing w:after="0" w:line="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Investments are generally valued using the NAV per share as a practical expedient for fair value provided certain criteria are met. The NAVs are determined based on the fair values of the underlying investments in the funds. Investments that are measured at fair value using the NAV practical expedient are not required to be classified in the fair value hierarchy. Investments classified within Level 3 primarily relate to an annuity contract, real estate, and private equities which are valued using unobservable inputs, primarily by discounting expected future cash flows, using comparative market multiples, third-party pricing sources, or a combination of these approaches as appropriate. See Note 10, “Postretirement Benefit Plans” for further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Debt Securities held within our Postretirement Benefit Plans</w:t>
      </w:r>
    </w:p>
    <w:p>
      <w:pPr>
        <w:spacing w:after="0" w:line="19"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When available, we use quoted market prices to determine the fair value of debt securities which are Level 1 inputs. For our remaining debt securities, we obtain pricing information from an independent pricing vendor. The inputs and assumptions to the pricing vendor’s models are derived from market observable sources including benchmark yields, reported trades, broker/dealer quotes, issuer spreads, benchmark securities, bids, offers and other market-related data. These investments are classified within Level 2. See Note 10, “Postretirement Benefit Plans” for further information.</w:t>
      </w:r>
    </w:p>
    <w:p>
      <w:pPr>
        <w:spacing w:after="0" w:line="21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There were no transfers between Levels 1, 2, and 3 of the fair value hierarchy during the years ended December 31, 2025, 2024, and 2023. See Note 13, “Financial Instruments and Fair Value Measurements” for further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NON-RECURRING FAIR VALUE MEASUREMENTS.</w:t>
      </w:r>
    </w:p>
    <w:p>
      <w:pPr>
        <w:spacing w:after="0" w:line="248"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Certain assets and liabilities are measured at fair value on a non-recurring basis. These items may include financing receivables and long-lived assets reduced to fair value upon classification as held for sale and impaired equity method investments and long-lived assets, which, when written down to fair value upon an impairment, are not subsequently adjusted to fair value unless further impairment occurs. The following sections describe the valuation methodologies the Company uses to measure these assets not measured on a recurring fair value basis.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Method Investments</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Equity method investments for which the fair value option was not elected are initially recorded at cost and are adjusted in each period for the Company’s share of the investee’s income or loss and dividends paid. In instances of impairment, equity method investments are written down to fair value using market observable data such as quoted prices when available. When market observable data is unavailable, investments are valued using either a discounted cash flow model, comparative market multiples, third-party pricing sources, or a combination of these approaches, as appropriate. These investments are generally valued using Level 3 inputs.</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Equity Investments Without Readily Determinable Fair Value</w:t>
      </w:r>
    </w:p>
    <w:p>
      <w:pPr>
        <w:spacing w:after="0" w:line="19"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Equity investments without readily determinable fair value, subject to a policy choice on a transaction-by-transaction basis, are accounted for under the measurement alternative at cost less impairment and adjusted to fair value for any observable price changes in orderly transactions for the identical or a similar investment of the same issuer. In the instance of impairment, if any, equity investments are adjusted to fair value using market observable data if available. If market observable data is not available, fair values are estimated using discounted cash flow models, comparative market multiples, or a combination of these approaches using Level 3 inputs.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Receivables</w:t>
      </w:r>
    </w:p>
    <w:p>
      <w:pPr>
        <w:spacing w:after="0" w:line="29"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generally use market data, including pricing on recently closed market transactions, to value financing receivables that are held for sale. Such financing receivables are valued using Level 2 inputs. When data is unobservable, we use valuation methodologies based on current market interest rate data adjusted for inherent credit risk. Such financing receivables are valued using Level 3 inputs.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Long-Lived Assets</w:t>
      </w:r>
    </w:p>
    <w:p>
      <w:pPr>
        <w:spacing w:after="0" w:line="19" w:lineRule="exact"/>
        <w:rPr>
          <w:sz w:val="20"/>
          <w:szCs w:val="20"/>
          <w:color w:val="auto"/>
        </w:rPr>
      </w:pPr>
    </w:p>
    <w:p>
      <w:pPr>
        <w:ind w:right="340"/>
        <w:spacing w:after="0" w:line="283" w:lineRule="auto"/>
        <w:rPr>
          <w:sz w:val="20"/>
          <w:szCs w:val="20"/>
          <w:color w:val="auto"/>
        </w:rPr>
      </w:pPr>
      <w:r>
        <w:rPr>
          <w:rFonts w:ascii="Arial" w:cs="Arial" w:eastAsia="Arial" w:hAnsi="Arial"/>
          <w:sz w:val="16"/>
          <w:szCs w:val="16"/>
          <w:color w:val="auto"/>
        </w:rPr>
        <w:t>Fair values of long-lived assets are primarily developed internally and are corroborated by available external appraisal information, as applicable. These assets are generally valued using Level 3 inputs.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have determined that the functional currency for many of our international operations is the local currency, and for other international operations the functional currency is the USD. The basis of this determination is the currency in which each of the international operations primarily generates and expends cash. When the functional currency is not the USD, asset and liability accounts are translated at period-end exchange rates. The Company translates functional currency income and expense amounts to their USD equivalents using average exchange rates for the period. These translation gains and losses are recognized within Accumulated other comprehensive income (loss) – net (“AOCI”) in the Consolidated Statements of Financial Position.</w:t>
      </w:r>
    </w:p>
    <w:p>
      <w:pPr>
        <w:sectPr>
          <w:pgSz w:w="11900" w:h="16838" w:orient="portrait"/>
          <w:cols w:equalWidth="0" w:num="1">
            <w:col w:w="11200"/>
          </w:cols>
          <w:pgMar w:left="320" w:top="13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Gains and losses from foreign currency transactions, such as those resulting from the settlement of monetary items in the non-functional currency and those resulting from remeasurements of monetary items, are included in Cost of products, Cost of services, SG&amp;A, and R&amp;D in the Consolidated Statements of Income, depending on the underlying nature of the item. Net gains (losses) from foreign currency transactions were $(149) million, $16 million, and $16 million for the years ended December 31, 2025, 2024, and 2023,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w:t>
      </w:r>
    </w:p>
    <w:p>
      <w:pPr>
        <w:spacing w:after="0" w:line="248"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Our financial statements include the operations of acquired businesses from the date of acquisition. The Company accounts for acquired businesses using the acquisition method of accounting in accordance with U.S. GAAP, which requires that assets acquired and liabilities assumed be recognized at their estimated fair values as of the acquisition date. When we acquire the remaining equity ownership of a company in which we hold an equity interest, we remeasure our equity interest to fair value. Any excess of the purchase price over the assigned values of the net assets acquired is recorded as Goodwill. Transaction costs are expensed as incurred. For those arrangements that involve potential future contingent consideration, on the date of acquisition we record a liability equal to the fair value of the estimated additional consideration we may be obligated to pay in the future.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See Note 8, “Acquisitions, Goodwill, and Other Intangible Assets” and Note 13, “Financial Instruments and Fair Value Measurements” for further information.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DISCONTINUED OPERATIONS.</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Certain of our operations have been presented as discontinued. We present businesses whose disposal represents a strategic shift that has, or will have, a major effect on our operations and financial results as discontinued operations when the components meet the criteria for held for sale, are sold, or are spun-off. Presentation as discontinued operations is consistent for all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COSTS.</w:t>
      </w:r>
    </w:p>
    <w:p>
      <w:pPr>
        <w:spacing w:after="0" w:line="262"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We record liabilities for costs associated with exit or disposal activities in the period in which the liability is incurred. Employee termination costs are accrued when the restructuring actions are probable and estimable. Costs for one-time termination benefits in which the employee is required to render service until termination in order to receive the benefits are recognized ratably over the future service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See Note 15, “Restructuring Activities” for further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6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Company conducts R&amp;D activities to create new products, develop new applications for existing products, and enhance existing products. Clinical study and certain research costs are recognized over the service periods specified in the contracts and adjusted as necessary based upon an ongoing review of the level of effort and costs actually incurred. R&amp;D costs are expensed as incurred.</w:t>
      </w:r>
    </w:p>
    <w:p>
      <w:pPr>
        <w:spacing w:after="0" w:line="21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 certain instances, R&amp;D activities may be funded by third parties, including government entities. These R&amp;D funding arrangements may include upfront payments, R&amp;D cost sharing payments, and future milestone payments that may be based upon the occurrence of future R&amp;D or commercialization events. Payments received as part of the R&amp;D funding arrangements are generally presented as an offset to R&amp;D expense.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COLLABORATIVE ARRANGEMENTS.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enter into collaborative arrangements primarily related to development of new products. A collaborative arrangement is a contractual arrangement that involves two or more parties who are active participants in the activity, and are exposed to significant risks and rewards dependent on the commercial success of the activity. The assessment for a collaborative arrangement is performed throughout the life of the arrangement based on changes in the responsibilities of all parties. Amounts that are owed by collaboration partners related to R&amp;D activities are generally presented as an offset to R&amp;D expense.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CHANGES.</w:t>
      </w:r>
    </w:p>
    <w:p>
      <w:pPr>
        <w:spacing w:after="0" w:line="24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We evaluate Accounting Standards Updates (“ASUs”) issued by the Financial Accounting Standards Board (“FASB”). ASUs not included in our disclosures were assessed and determined to either be not applicable or are not expected to have a significant impact on our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 Reflected in Our Consolidated Financial Statements</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 xml:space="preserve">In December 2023, the FASB issued ASU No. 2023-09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ASU 2023-09 addresses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provisions of ASU 2023-09 are effective for annual periods beginning after December 15, 2024. The Company adopted ASU 2023-09 for the year ended December 31, 2025, prospectively applied to disclosures in our notes to the financial statements. See Note 11, “Income Taxes.” for further information.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Recent Accounting Pronouncements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November 2024, the FASB issued ASU No. 2024-03 (“ASU 2024-03”), </w:t>
      </w:r>
      <w:r>
        <w:rPr>
          <w:rFonts w:ascii="Arial" w:cs="Arial" w:eastAsia="Arial" w:hAnsi="Arial"/>
          <w:sz w:val="16"/>
          <w:szCs w:val="16"/>
          <w:i w:val="1"/>
          <w:iCs w:val="1"/>
          <w:color w:val="auto"/>
        </w:rPr>
        <w:t>Income Statement - Reporting Comprehensive Income - Expense Disaggregation</w:t>
      </w:r>
    </w:p>
    <w:p>
      <w:pPr>
        <w:spacing w:after="0" w:line="1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i w:val="1"/>
          <w:iCs w:val="1"/>
          <w:color w:val="auto"/>
        </w:rPr>
        <w:t>Disclosures (Subtopic 220-40): Disaggregation of Income Statement Expenses</w:t>
      </w:r>
      <w:r>
        <w:rPr>
          <w:rFonts w:ascii="Arial" w:cs="Arial" w:eastAsia="Arial" w:hAnsi="Arial"/>
          <w:sz w:val="16"/>
          <w:szCs w:val="16"/>
          <w:color w:val="auto"/>
        </w:rPr>
        <w:t>. ASU 2024-03 addresses investor requests for more transparency about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information through the disaggregation of relevant expense captions in the notes to the financial statements. The provisions of ASU 2024-03 are effective for fiscal years beginning after December 15, 2026 and interim periods within fiscal years beginning after December 15, 2027. We expect the adoption to increase disclosures in our notes to the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September 2025, the FASB issued ASU No. 2025-06 (“ASU 2025-06”), </w:t>
      </w:r>
      <w:r>
        <w:rPr>
          <w:rFonts w:ascii="Arial" w:cs="Arial" w:eastAsia="Arial" w:hAnsi="Arial"/>
          <w:sz w:val="16"/>
          <w:szCs w:val="16"/>
          <w:i w:val="1"/>
          <w:iCs w:val="1"/>
          <w:color w:val="auto"/>
        </w:rPr>
        <w:t>Intangibles - Goodwill and Other - Internal-Use Software (Subtopic 350-40):</w:t>
      </w:r>
    </w:p>
    <w:p>
      <w:pPr>
        <w:spacing w:after="0" w:line="3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Targeted Improvements to the Accounting for Internal-Use Software</w:t>
      </w:r>
      <w:r>
        <w:rPr>
          <w:rFonts w:ascii="Arial" w:cs="Arial" w:eastAsia="Arial" w:hAnsi="Arial"/>
          <w:sz w:val="16"/>
          <w:szCs w:val="16"/>
          <w:color w:val="auto"/>
        </w:rPr>
        <w:t>. ASU 2025-06 updates the accounting for internal-use software by eliminating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concept of development stages. Under the updated guidance, software costs are capitalized once management has authorized and committed to funding the project, and it is probable the project will be completed and the software will be used to perform the function intended. The provisions of ASU 2025-06 are effective for annual reporting periods beginning after December 15, 2027, and interim periods within those annual periods. We are currently evaluating the effect that ASU 2025-06 will have on our financial statements.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AND OTHER DEFERRED ASSETS.</w:t>
      </w:r>
    </w:p>
    <w:p>
      <w:pPr>
        <w:spacing w:after="0" w:line="24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Contract assets reflect revenue recognized on contracts with customers in excess of billings based on contractual terms. Contract assets are classified as current or non-current based on the amount of time expected to lapse until the Company’s right to consideration becomes unconditional. Other deferred assets consist of costs to obtain contracts, primarily commissions, other cost deferrals for shipped products, and deferred service, labor, and direct overhead costs.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40" w:type="dxa"/>
            <w:vAlign w:val="bottom"/>
          </w:tcPr>
          <w:p>
            <w:pPr>
              <w:spacing w:after="0"/>
              <w:rPr>
                <w:sz w:val="19"/>
                <w:szCs w:val="19"/>
                <w:color w:val="auto"/>
              </w:rPr>
            </w:pPr>
          </w:p>
        </w:tc>
      </w:tr>
      <w:tr>
        <w:trPr>
          <w:trHeight w:val="21"/>
        </w:trPr>
        <w:tc>
          <w:tcPr>
            <w:tcW w:w="706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r>
      <w:tr>
        <w:trPr>
          <w:trHeight w:val="229"/>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ind w:right="199"/>
              <w:spacing w:after="0"/>
              <w:rPr>
                <w:sz w:val="20"/>
                <w:szCs w:val="20"/>
                <w:color w:val="auto"/>
              </w:rPr>
            </w:pPr>
            <w:r>
              <w:rPr>
                <w:rFonts w:ascii="Arial" w:cs="Arial" w:eastAsia="Arial" w:hAnsi="Arial"/>
                <w:sz w:val="16"/>
                <w:szCs w:val="16"/>
                <w:b w:val="1"/>
                <w:bCs w:val="1"/>
                <w:color w:val="454545"/>
              </w:rPr>
              <w:t>December 31, 2025</w:t>
            </w:r>
          </w:p>
        </w:tc>
        <w:tc>
          <w:tcPr>
            <w:tcW w:w="280" w:type="dxa"/>
            <w:vAlign w:val="bottom"/>
          </w:tcPr>
          <w:p>
            <w:pPr>
              <w:spacing w:after="0"/>
              <w:rPr>
                <w:sz w:val="19"/>
                <w:szCs w:val="19"/>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0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40" w:type="dxa"/>
            <w:vAlign w:val="bottom"/>
            <w:tcBorders>
              <w:bottom w:val="single" w:sz="8" w:color="6022A6"/>
            </w:tcBorders>
          </w:tcPr>
          <w:p>
            <w:pPr>
              <w:spacing w:after="0" w:line="20" w:lineRule="exact"/>
              <w:rPr>
                <w:sz w:val="1"/>
                <w:szCs w:val="1"/>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assets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645</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589</w:t>
            </w:r>
          </w:p>
        </w:tc>
      </w:tr>
      <w:tr>
        <w:trPr>
          <w:trHeight w:val="228"/>
        </w:trPr>
        <w:tc>
          <w:tcPr>
            <w:tcW w:w="7060" w:type="dxa"/>
            <w:vAlign w:val="bottom"/>
          </w:tcPr>
          <w:p>
            <w:pPr>
              <w:ind w:left="20"/>
              <w:spacing w:after="0"/>
              <w:rPr>
                <w:sz w:val="20"/>
                <w:szCs w:val="20"/>
                <w:color w:val="auto"/>
              </w:rPr>
            </w:pPr>
            <w:r>
              <w:rPr>
                <w:rFonts w:ascii="Arial" w:cs="Arial" w:eastAsia="Arial" w:hAnsi="Arial"/>
                <w:sz w:val="16"/>
                <w:szCs w:val="16"/>
                <w:color w:val="auto"/>
              </w:rPr>
              <w:t>Other deferred assets</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428</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385</w:t>
            </w:r>
          </w:p>
        </w:tc>
      </w:tr>
      <w:tr>
        <w:trPr>
          <w:trHeight w:val="29"/>
        </w:trPr>
        <w:tc>
          <w:tcPr>
            <w:tcW w:w="7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Contract and other deferred assets</w:t>
            </w:r>
          </w:p>
        </w:tc>
        <w:tc>
          <w:tcPr>
            <w:tcW w:w="200" w:type="dxa"/>
            <w:vAlign w:val="bottom"/>
            <w:tcBorders>
              <w:bottom w:val="single" w:sz="8" w:color="E4E4E4"/>
            </w:tcBorders>
            <w:shd w:val="clear" w:color="auto" w:fill="E4E4E4"/>
          </w:tcPr>
          <w:p>
            <w:pPr>
              <w:spacing w:after="0"/>
              <w:rPr>
                <w:sz w:val="20"/>
                <w:szCs w:val="20"/>
                <w:color w:val="auto"/>
              </w:rPr>
            </w:pP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1,073</w:t>
            </w:r>
          </w:p>
        </w:tc>
        <w:tc>
          <w:tcPr>
            <w:tcW w:w="280" w:type="dxa"/>
            <w:vAlign w:val="bottom"/>
            <w:tcBorders>
              <w:bottom w:val="single" w:sz="8" w:color="E4E4E4"/>
            </w:tcBorders>
            <w:shd w:val="clear" w:color="auto" w:fill="E4E4E4"/>
          </w:tcPr>
          <w:p>
            <w:pPr>
              <w:spacing w:after="0"/>
              <w:rPr>
                <w:sz w:val="20"/>
                <w:szCs w:val="20"/>
                <w:color w:val="auto"/>
              </w:rPr>
            </w:pP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974</w:t>
            </w:r>
          </w:p>
        </w:tc>
      </w:tr>
      <w:tr>
        <w:trPr>
          <w:trHeight w:val="257"/>
        </w:trPr>
        <w:tc>
          <w:tcPr>
            <w:tcW w:w="7060" w:type="dxa"/>
            <w:vAlign w:val="bottom"/>
          </w:tcPr>
          <w:p>
            <w:pPr>
              <w:ind w:left="20"/>
              <w:spacing w:after="0"/>
              <w:rPr>
                <w:sz w:val="20"/>
                <w:szCs w:val="20"/>
                <w:color w:val="auto"/>
              </w:rPr>
            </w:pPr>
            <w:r>
              <w:rPr>
                <w:rFonts w:ascii="Arial" w:cs="Arial" w:eastAsia="Arial" w:hAnsi="Arial"/>
                <w:sz w:val="16"/>
                <w:szCs w:val="16"/>
                <w:color w:val="auto"/>
              </w:rPr>
              <w:t>Non-current contract assets</w:t>
            </w:r>
            <w:r>
              <w:rPr>
                <w:rFonts w:ascii="Arial" w:cs="Arial" w:eastAsia="Arial" w:hAnsi="Arial"/>
                <w:sz w:val="21"/>
                <w:szCs w:val="21"/>
                <w:color w:val="auto"/>
                <w:vertAlign w:val="superscript"/>
              </w:rPr>
              <w:t>(1)</w:t>
            </w:r>
          </w:p>
        </w:tc>
        <w:tc>
          <w:tcPr>
            <w:tcW w:w="2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91</w:t>
            </w:r>
          </w:p>
        </w:tc>
        <w:tc>
          <w:tcPr>
            <w:tcW w:w="280" w:type="dxa"/>
            <w:vAlign w:val="bottom"/>
          </w:tcPr>
          <w:p>
            <w:pPr>
              <w:spacing w:after="0"/>
              <w:rPr>
                <w:sz w:val="22"/>
                <w:szCs w:val="22"/>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6"/>
        </w:trPr>
        <w:tc>
          <w:tcPr>
            <w:tcW w:w="70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Non-current other deferred assets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E4E4E4"/>
          </w:tcPr>
          <w:p>
            <w:pPr>
              <w:spacing w:after="0"/>
              <w:rPr>
                <w:sz w:val="22"/>
                <w:szCs w:val="22"/>
                <w:color w:val="auto"/>
              </w:rPr>
            </w:pPr>
          </w:p>
        </w:tc>
        <w:tc>
          <w:tcPr>
            <w:tcW w:w="1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120</w:t>
            </w:r>
          </w:p>
        </w:tc>
        <w:tc>
          <w:tcPr>
            <w:tcW w:w="280" w:type="dxa"/>
            <w:vAlign w:val="bottom"/>
            <w:tcBorders>
              <w:bottom w:val="single" w:sz="8" w:color="auto"/>
            </w:tcBorders>
            <w:shd w:val="clear" w:color="auto" w:fill="E4E4E4"/>
          </w:tcPr>
          <w:p>
            <w:pPr>
              <w:spacing w:after="0"/>
              <w:rPr>
                <w:sz w:val="22"/>
                <w:szCs w:val="22"/>
                <w:color w:val="auto"/>
              </w:rPr>
            </w:pPr>
          </w:p>
        </w:tc>
        <w:tc>
          <w:tcPr>
            <w:tcW w:w="1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105</w:t>
            </w:r>
          </w:p>
        </w:tc>
      </w:tr>
      <w:tr>
        <w:trPr>
          <w:trHeight w:val="229"/>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Total contract and other deferred assets</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b w:val="1"/>
                <w:bCs w:val="1"/>
                <w:color w:val="auto"/>
              </w:rPr>
              <w:t>1,285</w:t>
            </w:r>
          </w:p>
        </w:tc>
        <w:tc>
          <w:tcPr>
            <w:tcW w:w="28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spacing w:after="0"/>
              <w:rPr>
                <w:sz w:val="20"/>
                <w:szCs w:val="20"/>
                <w:color w:val="auto"/>
              </w:rPr>
            </w:pPr>
            <w:r>
              <w:rPr>
                <w:rFonts w:ascii="Arial" w:cs="Arial" w:eastAsia="Arial" w:hAnsi="Arial"/>
                <w:sz w:val="16"/>
                <w:szCs w:val="16"/>
                <w:b w:val="1"/>
                <w:bCs w:val="1"/>
                <w:color w:val="auto"/>
              </w:rPr>
              <w:t>1,183</w:t>
            </w:r>
          </w:p>
        </w:tc>
      </w:tr>
      <w:tr>
        <w:trPr>
          <w:trHeight w:val="21"/>
        </w:trPr>
        <w:tc>
          <w:tcPr>
            <w:tcW w:w="7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Non-current contract and other deferred assets are recognized within All other non-current assets in the Consolidated Statements of Financial Position.</w:t>
      </w:r>
    </w:p>
    <w:p>
      <w:pPr>
        <w:spacing w:after="0" w:line="26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Capitalized costs to obtain a contract were $253 million and $217 million as of December 31, 2025 and 2024, respectively. Generally, these costs are recognized within two years of being capitalized. When recognized, the costs to obtain a contract are recorded within SG&amp;A in the Consolidated Statements of Income.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LIABILITIES.</w:t>
      </w:r>
    </w:p>
    <w:p>
      <w:pPr>
        <w:spacing w:after="0" w:line="26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Contract liabilities include customer advances and deposits received when orders are placed and billed in advance of completion of performance obligations. Contract liabilities are classified as current or non-current based on the periods over which these remaining performance obligations are expected to be satisfied with our customers.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40" w:type="dxa"/>
            <w:vAlign w:val="bottom"/>
          </w:tcPr>
          <w:p>
            <w:pPr>
              <w:spacing w:after="0"/>
              <w:rPr>
                <w:sz w:val="19"/>
                <w:szCs w:val="19"/>
                <w:color w:val="auto"/>
              </w:rPr>
            </w:pPr>
          </w:p>
        </w:tc>
      </w:tr>
      <w:tr>
        <w:trPr>
          <w:trHeight w:val="21"/>
        </w:trPr>
        <w:tc>
          <w:tcPr>
            <w:tcW w:w="706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r>
      <w:tr>
        <w:trPr>
          <w:trHeight w:val="229"/>
        </w:trPr>
        <w:tc>
          <w:tcPr>
            <w:tcW w:w="7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ind w:right="199"/>
              <w:spacing w:after="0"/>
              <w:rPr>
                <w:sz w:val="20"/>
                <w:szCs w:val="20"/>
                <w:color w:val="auto"/>
              </w:rPr>
            </w:pPr>
            <w:r>
              <w:rPr>
                <w:rFonts w:ascii="Arial" w:cs="Arial" w:eastAsia="Arial" w:hAnsi="Arial"/>
                <w:sz w:val="16"/>
                <w:szCs w:val="16"/>
                <w:b w:val="1"/>
                <w:bCs w:val="1"/>
                <w:color w:val="454545"/>
              </w:rPr>
              <w:t>December 31, 2025</w:t>
            </w:r>
          </w:p>
        </w:tc>
        <w:tc>
          <w:tcPr>
            <w:tcW w:w="280" w:type="dxa"/>
            <w:vAlign w:val="bottom"/>
          </w:tcPr>
          <w:p>
            <w:pPr>
              <w:spacing w:after="0"/>
              <w:rPr>
                <w:sz w:val="19"/>
                <w:szCs w:val="19"/>
                <w:color w:val="auto"/>
              </w:rPr>
            </w:pPr>
          </w:p>
        </w:tc>
        <w:tc>
          <w:tcPr>
            <w:tcW w:w="1840" w:type="dxa"/>
            <w:vAlign w:val="bottom"/>
          </w:tcPr>
          <w:p>
            <w:pPr>
              <w:jc w:val="right"/>
              <w:ind w:right="23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06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40" w:type="dxa"/>
            <w:vAlign w:val="bottom"/>
            <w:tcBorders>
              <w:bottom w:val="single" w:sz="8" w:color="6022A6"/>
            </w:tcBorders>
          </w:tcPr>
          <w:p>
            <w:pPr>
              <w:spacing w:after="0" w:line="20" w:lineRule="exact"/>
              <w:rPr>
                <w:sz w:val="1"/>
                <w:szCs w:val="1"/>
                <w:color w:val="auto"/>
              </w:rPr>
            </w:pP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2,095</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1,943</w:t>
            </w:r>
          </w:p>
        </w:tc>
      </w:tr>
      <w:tr>
        <w:trPr>
          <w:trHeight w:val="256"/>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contract liabilities</w:t>
            </w:r>
            <w:r>
              <w:rPr>
                <w:rFonts w:ascii="Arial" w:cs="Arial" w:eastAsia="Arial" w:hAnsi="Arial"/>
                <w:sz w:val="21"/>
                <w:szCs w:val="21"/>
                <w:color w:val="auto"/>
                <w:vertAlign w:val="superscript"/>
              </w:rPr>
              <w:t>(1)</w:t>
            </w:r>
          </w:p>
        </w:tc>
        <w:tc>
          <w:tcPr>
            <w:tcW w:w="20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2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w:t>
            </w:r>
          </w:p>
        </w:tc>
      </w:tr>
      <w:tr>
        <w:trPr>
          <w:trHeight w:val="230"/>
        </w:trPr>
        <w:tc>
          <w:tcPr>
            <w:tcW w:w="7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contract liabilities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2,899</w:t>
            </w:r>
          </w:p>
        </w:tc>
        <w:tc>
          <w:tcPr>
            <w:tcW w:w="28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2,629</w:t>
            </w:r>
          </w:p>
        </w:tc>
      </w:tr>
      <w:tr>
        <w:trPr>
          <w:trHeight w:val="20"/>
        </w:trPr>
        <w:tc>
          <w:tcPr>
            <w:tcW w:w="70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Non-current contract liabilities are recognized within All other non-current liabilities in the Consolidated Statements of Financial Position.</w:t>
      </w:r>
    </w:p>
    <w:p>
      <w:pPr>
        <w:spacing w:after="0" w:line="248"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Revenue recognized related to the contract liabilities balance at the beginning of the year was approximately $1,588 million and $1,585 million for the years ended December 31, 2025 and 2024, respectively.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REMAINING PERFORMANCE OBLIGATIONS.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Remaining performance obligations (“RPO”) represents the estimated revenue expected from customer contracts that are partially or fully unperformed inclusive of amounts deferred in contract liabilities, excluding contracts, or portions thereof, that provide the customer with the right to cancel or terminate without incurring a substantive penalty. RPO also excludes estimated revenue from arrangements where we lease equipment manufactured by the Company to customers.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860" w:type="dxa"/>
            <w:vAlign w:val="bottom"/>
          </w:tcPr>
          <w:p>
            <w:pPr>
              <w:spacing w:after="0"/>
              <w:rPr>
                <w:sz w:val="19"/>
                <w:szCs w:val="19"/>
                <w:color w:val="auto"/>
              </w:rPr>
            </w:pPr>
          </w:p>
        </w:tc>
      </w:tr>
      <w:tr>
        <w:trPr>
          <w:trHeight w:val="21"/>
        </w:trPr>
        <w:tc>
          <w:tcPr>
            <w:tcW w:w="7000" w:type="dxa"/>
            <w:vAlign w:val="bottom"/>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880" w:type="dxa"/>
            <w:vAlign w:val="bottom"/>
            <w:tcBorders>
              <w:bottom w:val="single" w:sz="8" w:color="454545"/>
            </w:tcBorders>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1860" w:type="dxa"/>
            <w:vAlign w:val="bottom"/>
            <w:tcBorders>
              <w:bottom w:val="single" w:sz="8" w:color="454545"/>
            </w:tcBorders>
          </w:tcPr>
          <w:p>
            <w:pPr>
              <w:spacing w:after="0" w:line="20" w:lineRule="exact"/>
              <w:rPr>
                <w:sz w:val="1"/>
                <w:szCs w:val="1"/>
                <w:color w:val="auto"/>
              </w:rPr>
            </w:pPr>
          </w:p>
        </w:tc>
      </w:tr>
      <w:tr>
        <w:trPr>
          <w:trHeight w:val="229"/>
        </w:trPr>
        <w:tc>
          <w:tcPr>
            <w:tcW w:w="7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ind w:right="219"/>
              <w:spacing w:after="0"/>
              <w:rPr>
                <w:sz w:val="20"/>
                <w:szCs w:val="20"/>
                <w:color w:val="auto"/>
              </w:rPr>
            </w:pPr>
            <w:r>
              <w:rPr>
                <w:rFonts w:ascii="Arial" w:cs="Arial" w:eastAsia="Arial" w:hAnsi="Arial"/>
                <w:sz w:val="16"/>
                <w:szCs w:val="16"/>
                <w:b w:val="1"/>
                <w:bCs w:val="1"/>
                <w:color w:val="454545"/>
              </w:rPr>
              <w:t>December 31, 2025</w:t>
            </w:r>
          </w:p>
        </w:tc>
        <w:tc>
          <w:tcPr>
            <w:tcW w:w="280" w:type="dxa"/>
            <w:vAlign w:val="bottom"/>
          </w:tcPr>
          <w:p>
            <w:pPr>
              <w:spacing w:after="0"/>
              <w:rPr>
                <w:sz w:val="19"/>
                <w:szCs w:val="19"/>
                <w:color w:val="auto"/>
              </w:rPr>
            </w:pPr>
          </w:p>
        </w:tc>
        <w:tc>
          <w:tcPr>
            <w:tcW w:w="1860" w:type="dxa"/>
            <w:vAlign w:val="bottom"/>
          </w:tcPr>
          <w:p>
            <w:pPr>
              <w:jc w:val="right"/>
              <w:ind w:right="25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00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88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1860" w:type="dxa"/>
            <w:vAlign w:val="bottom"/>
            <w:tcBorders>
              <w:bottom w:val="single" w:sz="8" w:color="6022A6"/>
            </w:tcBorders>
          </w:tcPr>
          <w:p>
            <w:pPr>
              <w:spacing w:after="0" w:line="20" w:lineRule="exact"/>
              <w:rPr>
                <w:sz w:val="1"/>
                <w:szCs w:val="1"/>
                <w:color w:val="auto"/>
              </w:rPr>
            </w:pPr>
          </w:p>
        </w:tc>
      </w:tr>
      <w:tr>
        <w:trPr>
          <w:trHeight w:val="270"/>
        </w:trPr>
        <w:tc>
          <w:tcPr>
            <w:tcW w:w="7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Products</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5,001</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4,755</w:t>
            </w:r>
          </w:p>
        </w:tc>
      </w:tr>
      <w:tr>
        <w:trPr>
          <w:trHeight w:val="268"/>
        </w:trPr>
        <w:tc>
          <w:tcPr>
            <w:tcW w:w="7000" w:type="dxa"/>
            <w:vAlign w:val="bottom"/>
          </w:tcPr>
          <w:p>
            <w:pPr>
              <w:ind w:left="20"/>
              <w:spacing w:after="0"/>
              <w:rPr>
                <w:sz w:val="20"/>
                <w:szCs w:val="20"/>
                <w:color w:val="auto"/>
              </w:rPr>
            </w:pPr>
            <w:r>
              <w:rPr>
                <w:rFonts w:ascii="Arial" w:cs="Arial" w:eastAsia="Arial" w:hAnsi="Arial"/>
                <w:sz w:val="16"/>
                <w:szCs w:val="16"/>
                <w:color w:val="auto"/>
              </w:rPr>
              <w:t>Services</w:t>
            </w:r>
          </w:p>
        </w:tc>
        <w:tc>
          <w:tcPr>
            <w:tcW w:w="22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10,728</w:t>
            </w:r>
          </w:p>
        </w:tc>
        <w:tc>
          <w:tcPr>
            <w:tcW w:w="28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9,737</w:t>
            </w:r>
          </w:p>
        </w:tc>
      </w:tr>
      <w:tr>
        <w:trPr>
          <w:trHeight w:val="29"/>
        </w:trPr>
        <w:tc>
          <w:tcPr>
            <w:tcW w:w="7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71"/>
        </w:trPr>
        <w:tc>
          <w:tcPr>
            <w:tcW w:w="70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RPO</w:t>
            </w:r>
          </w:p>
        </w:tc>
        <w:tc>
          <w:tcPr>
            <w:tcW w:w="22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15,729</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b w:val="1"/>
                <w:bCs w:val="1"/>
                <w:color w:val="auto"/>
              </w:rPr>
              <w:t>$</w:t>
            </w:r>
          </w:p>
        </w:tc>
        <w:tc>
          <w:tcPr>
            <w:tcW w:w="1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14,491</w:t>
            </w:r>
          </w:p>
        </w:tc>
      </w:tr>
      <w:tr>
        <w:trPr>
          <w:trHeight w:val="20"/>
        </w:trPr>
        <w:tc>
          <w:tcPr>
            <w:tcW w:w="7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We expect to recognize substantially all of the revenue for our product-related RPO within two years and services-related RPO within five years.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AND GEOGRAPHICAL INFORMATION</w:t>
      </w:r>
    </w:p>
    <w:p>
      <w:pPr>
        <w:spacing w:after="0" w:line="2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GE HealthCare’s operations are organized and managed through four reportable segments: Imaging, Advanced Visualization Solutions (“AVS”), Patient Care Solutions (“PCS”), and Pharmaceutical Diagnostics (“PDx”). These segments have been identified based on the nature of the products sold and how the Company manages its operations. We have not aggregated any of our operating segments to form reportable segments. A description of our reportable segments has been provided in Item 1, “Business” of this Annual Report on Form 10-K.</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Company’s organizational structure is based upon the availability of separate financial information that is evaluated regularly by the Company’s Chief Operating Decision Maker (“CODM”) for the purpose of assessing performance and allocating resources. The Company’s CODM is our Chief Executive Officer. The CODM assesses segment performance using Total revenues and an earnings metric defined as “Segment EBIT.” Segment EBIT is calculated as income before income taxes in our Consolidated Statements of Income excluding the impact of the following: Interest and other financial charges – net, Non-operating benefit (income) costs, restructuring costs, acquisition and disposition-related benefits (charges), gain (loss) on business and asset dispositions, Spin-Off and separation costs, amortization of acquisition-related intangible assets, and investment revaluation gain (loss). Segment EBIT is also used in the annual budget and periodic forecasting processes and informs the CODM in decision making regarding the allocation of resources to the segments.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Total Revenues by Segment</w:t>
            </w:r>
          </w:p>
        </w:tc>
        <w:tc>
          <w:tcPr>
            <w:tcW w:w="1040" w:type="dxa"/>
            <w:vAlign w:val="bottom"/>
          </w:tcPr>
          <w:p>
            <w:pPr>
              <w:spacing w:after="0"/>
              <w:rPr>
                <w:sz w:val="19"/>
                <w:szCs w:val="19"/>
                <w:color w:val="auto"/>
              </w:rPr>
            </w:pPr>
          </w:p>
        </w:tc>
        <w:tc>
          <w:tcPr>
            <w:tcW w:w="278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60" w:type="dxa"/>
            <w:vAlign w:val="bottom"/>
          </w:tcPr>
          <w:p>
            <w:pPr>
              <w:spacing w:after="0"/>
              <w:rPr>
                <w:sz w:val="19"/>
                <w:szCs w:val="19"/>
                <w:color w:val="auto"/>
              </w:rPr>
            </w:pPr>
          </w:p>
        </w:tc>
      </w:tr>
      <w:tr>
        <w:trPr>
          <w:trHeight w:val="21"/>
        </w:trPr>
        <w:tc>
          <w:tcPr>
            <w:tcW w:w="636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r>
      <w:tr>
        <w:trPr>
          <w:trHeight w:val="229"/>
        </w:trPr>
        <w:tc>
          <w:tcPr>
            <w:tcW w:w="6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2024</w:t>
            </w:r>
          </w:p>
        </w:tc>
        <w:tc>
          <w:tcPr>
            <w:tcW w:w="560" w:type="dxa"/>
            <w:vAlign w:val="bottom"/>
          </w:tcPr>
          <w:p>
            <w:pPr>
              <w:spacing w:after="0"/>
              <w:rPr>
                <w:sz w:val="19"/>
                <w:szCs w:val="19"/>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2023</w:t>
            </w:r>
          </w:p>
        </w:tc>
      </w:tr>
      <w:tr>
        <w:trPr>
          <w:trHeight w:val="21"/>
        </w:trPr>
        <w:tc>
          <w:tcPr>
            <w:tcW w:w="636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r>
      <w:tr>
        <w:trPr>
          <w:trHeight w:val="230"/>
        </w:trPr>
        <w:tc>
          <w:tcPr>
            <w:tcW w:w="6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Imaging</w:t>
            </w:r>
          </w:p>
        </w:tc>
        <w:tc>
          <w:tcPr>
            <w:tcW w:w="1040" w:type="dxa"/>
            <w:vAlign w:val="bottom"/>
            <w:tcBorders>
              <w:bottom w:val="single" w:sz="8" w:color="E4E4E4"/>
            </w:tcBorders>
            <w:shd w:val="clear" w:color="auto" w:fill="E4E4E4"/>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9,245</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8,855</w:t>
            </w:r>
          </w:p>
        </w:tc>
        <w:tc>
          <w:tcPr>
            <w:tcW w:w="56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8,944</w:t>
            </w:r>
          </w:p>
        </w:tc>
      </w:tr>
      <w:tr>
        <w:trPr>
          <w:trHeight w:val="228"/>
        </w:trPr>
        <w:tc>
          <w:tcPr>
            <w:tcW w:w="6360" w:type="dxa"/>
            <w:vAlign w:val="bottom"/>
          </w:tcPr>
          <w:p>
            <w:pPr>
              <w:ind w:left="20"/>
              <w:spacing w:after="0"/>
              <w:rPr>
                <w:sz w:val="20"/>
                <w:szCs w:val="20"/>
                <w:color w:val="auto"/>
              </w:rPr>
            </w:pPr>
            <w:r>
              <w:rPr>
                <w:rFonts w:ascii="Arial" w:cs="Arial" w:eastAsia="Arial" w:hAnsi="Arial"/>
                <w:sz w:val="16"/>
                <w:szCs w:val="16"/>
                <w:color w:val="auto"/>
              </w:rPr>
              <w:t>AVS: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9"/>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636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Procedural Guidance</w:t>
            </w:r>
          </w:p>
        </w:tc>
        <w:tc>
          <w:tcPr>
            <w:tcW w:w="10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2,752</w:t>
            </w:r>
          </w:p>
        </w:tc>
        <w:tc>
          <w:tcPr>
            <w:tcW w:w="40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2,711</w:t>
            </w:r>
          </w:p>
        </w:tc>
        <w:tc>
          <w:tcPr>
            <w:tcW w:w="56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2,666</w:t>
            </w:r>
          </w:p>
        </w:tc>
      </w:tr>
      <w:tr>
        <w:trPr>
          <w:trHeight w:val="228"/>
        </w:trPr>
        <w:tc>
          <w:tcPr>
            <w:tcW w:w="6360" w:type="dxa"/>
            <w:vAlign w:val="bottom"/>
          </w:tcPr>
          <w:p>
            <w:pPr>
              <w:ind w:left="180"/>
              <w:spacing w:after="0"/>
              <w:rPr>
                <w:sz w:val="20"/>
                <w:szCs w:val="20"/>
                <w:color w:val="auto"/>
              </w:rPr>
            </w:pPr>
            <w:r>
              <w:rPr>
                <w:rFonts w:ascii="Arial" w:cs="Arial" w:eastAsia="Arial" w:hAnsi="Arial"/>
                <w:sz w:val="16"/>
                <w:szCs w:val="16"/>
                <w:color w:val="auto"/>
              </w:rPr>
              <w:t>Specialized Ultrasound</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2,601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2,420</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2,428</w:t>
            </w:r>
          </w:p>
        </w:tc>
      </w:tr>
      <w:tr>
        <w:trPr>
          <w:trHeight w:val="29"/>
        </w:trPr>
        <w:tc>
          <w:tcPr>
            <w:tcW w:w="6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AVS</w:t>
            </w:r>
          </w:p>
        </w:tc>
        <w:tc>
          <w:tcPr>
            <w:tcW w:w="10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5,354</w:t>
            </w:r>
          </w:p>
        </w:tc>
        <w:tc>
          <w:tcPr>
            <w:tcW w:w="40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5,131</w:t>
            </w:r>
          </w:p>
        </w:tc>
        <w:tc>
          <w:tcPr>
            <w:tcW w:w="56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5,094</w:t>
            </w:r>
          </w:p>
        </w:tc>
      </w:tr>
      <w:tr>
        <w:trPr>
          <w:trHeight w:val="228"/>
        </w:trPr>
        <w:tc>
          <w:tcPr>
            <w:tcW w:w="6360" w:type="dxa"/>
            <w:vAlign w:val="bottom"/>
          </w:tcPr>
          <w:p>
            <w:pPr>
              <w:ind w:left="20"/>
              <w:spacing w:after="0"/>
              <w:rPr>
                <w:sz w:val="20"/>
                <w:szCs w:val="20"/>
                <w:color w:val="auto"/>
              </w:rPr>
            </w:pPr>
            <w:r>
              <w:rPr>
                <w:rFonts w:ascii="Arial" w:cs="Arial" w:eastAsia="Arial" w:hAnsi="Arial"/>
                <w:sz w:val="16"/>
                <w:szCs w:val="16"/>
                <w:color w:val="auto"/>
              </w:rPr>
              <w:t>PCS:</w:t>
            </w: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9"/>
        </w:trPr>
        <w:tc>
          <w:tcPr>
            <w:tcW w:w="6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36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Monitoring Solutions</w:t>
            </w:r>
          </w:p>
        </w:tc>
        <w:tc>
          <w:tcPr>
            <w:tcW w:w="10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2,256</w:t>
            </w:r>
          </w:p>
        </w:tc>
        <w:tc>
          <w:tcPr>
            <w:tcW w:w="40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2,194</w:t>
            </w:r>
          </w:p>
        </w:tc>
        <w:tc>
          <w:tcPr>
            <w:tcW w:w="56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2,283</w:t>
            </w:r>
          </w:p>
        </w:tc>
      </w:tr>
      <w:tr>
        <w:trPr>
          <w:trHeight w:val="228"/>
        </w:trPr>
        <w:tc>
          <w:tcPr>
            <w:tcW w:w="6360" w:type="dxa"/>
            <w:vAlign w:val="bottom"/>
          </w:tcPr>
          <w:p>
            <w:pPr>
              <w:ind w:left="180"/>
              <w:spacing w:after="0"/>
              <w:rPr>
                <w:sz w:val="20"/>
                <w:szCs w:val="20"/>
                <w:color w:val="auto"/>
              </w:rPr>
            </w:pPr>
            <w:r>
              <w:rPr>
                <w:rFonts w:ascii="Arial" w:cs="Arial" w:eastAsia="Arial" w:hAnsi="Arial"/>
                <w:sz w:val="16"/>
                <w:szCs w:val="16"/>
                <w:color w:val="auto"/>
              </w:rPr>
              <w:t>Life Support Solutions</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931</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859</w:t>
            </w:r>
          </w:p>
        </w:tc>
      </w:tr>
      <w:tr>
        <w:trPr>
          <w:trHeight w:val="29"/>
        </w:trPr>
        <w:tc>
          <w:tcPr>
            <w:tcW w:w="6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PCS</w:t>
            </w:r>
          </w:p>
        </w:tc>
        <w:tc>
          <w:tcPr>
            <w:tcW w:w="104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3,086</w:t>
            </w:r>
          </w:p>
        </w:tc>
        <w:tc>
          <w:tcPr>
            <w:tcW w:w="40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3,125</w:t>
            </w:r>
          </w:p>
        </w:tc>
        <w:tc>
          <w:tcPr>
            <w:tcW w:w="56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3,142</w:t>
            </w:r>
          </w:p>
        </w:tc>
      </w:tr>
      <w:tr>
        <w:trPr>
          <w:trHeight w:val="235"/>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0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2,900</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2,508</w:t>
            </w:r>
          </w:p>
        </w:tc>
        <w:tc>
          <w:tcPr>
            <w:tcW w:w="5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2,306</w:t>
            </w:r>
          </w:p>
        </w:tc>
      </w:tr>
      <w:tr>
        <w:trPr>
          <w:trHeight w:val="21"/>
        </w:trPr>
        <w:tc>
          <w:tcPr>
            <w:tcW w:w="6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6"/>
        </w:trPr>
        <w:tc>
          <w:tcPr>
            <w:tcW w:w="63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1040" w:type="dxa"/>
            <w:vAlign w:val="bottom"/>
            <w:tcBorders>
              <w:bottom w:val="single" w:sz="8" w:color="auto"/>
            </w:tcBorders>
            <w:shd w:val="clear" w:color="auto" w:fill="E4E4E4"/>
          </w:tcPr>
          <w:p>
            <w:pPr>
              <w:spacing w:after="0"/>
              <w:rPr>
                <w:sz w:val="22"/>
                <w:szCs w:val="22"/>
                <w:color w:val="auto"/>
              </w:rPr>
            </w:pPr>
          </w:p>
        </w:tc>
        <w:tc>
          <w:tcPr>
            <w:tcW w:w="5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w:t>
            </w:r>
          </w:p>
        </w:tc>
        <w:tc>
          <w:tcPr>
            <w:tcW w:w="40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w:t>
            </w:r>
          </w:p>
        </w:tc>
        <w:tc>
          <w:tcPr>
            <w:tcW w:w="560" w:type="dxa"/>
            <w:vAlign w:val="bottom"/>
            <w:tcBorders>
              <w:bottom w:val="single" w:sz="8" w:color="auto"/>
            </w:tcBorders>
            <w:shd w:val="clear" w:color="auto" w:fill="E4E4E4"/>
          </w:tcPr>
          <w:p>
            <w:pPr>
              <w:spacing w:after="0"/>
              <w:rPr>
                <w:sz w:val="22"/>
                <w:szCs w:val="22"/>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w:t>
            </w:r>
          </w:p>
        </w:tc>
      </w:tr>
      <w:tr>
        <w:trPr>
          <w:trHeight w:val="229"/>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Total revenues</w:t>
            </w: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20,625</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19,672</w:t>
            </w:r>
          </w:p>
        </w:tc>
        <w:tc>
          <w:tcPr>
            <w:tcW w:w="56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19,552</w:t>
            </w:r>
          </w:p>
        </w:tc>
      </w:tr>
      <w:tr>
        <w:trPr>
          <w:trHeight w:val="21"/>
        </w:trPr>
        <w:tc>
          <w:tcPr>
            <w:tcW w:w="6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60" w:hanging="252"/>
        <w:spacing w:after="0" w:line="286" w:lineRule="auto"/>
        <w:tabs>
          <w:tab w:leader="none" w:pos="2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represents HealthCare Financial Services (“HFS”) which does not meet the definition of an operating segment.</w:t>
      </w:r>
    </w:p>
    <w:p>
      <w:pPr>
        <w:spacing w:after="0" w:line="1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No single customer accounted for more than 10% of the Company’s revenues for the years ended December 31, 2025, 2024, or 2023. Additionally, no single customer accounted for more than 10% of accounts receivable as of December 31, 2025 or 2024.</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Significant Expenses by Segment</w:t>
            </w:r>
          </w:p>
        </w:tc>
        <w:tc>
          <w:tcPr>
            <w:tcW w:w="1060" w:type="dxa"/>
            <w:vAlign w:val="bottom"/>
          </w:tcPr>
          <w:p>
            <w:pPr>
              <w:spacing w:after="0"/>
              <w:rPr>
                <w:sz w:val="19"/>
                <w:szCs w:val="19"/>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60" w:type="dxa"/>
            <w:vAlign w:val="bottom"/>
          </w:tcPr>
          <w:p>
            <w:pPr>
              <w:spacing w:after="0"/>
              <w:rPr>
                <w:sz w:val="19"/>
                <w:szCs w:val="19"/>
                <w:color w:val="auto"/>
              </w:rPr>
            </w:pPr>
          </w:p>
        </w:tc>
      </w:tr>
      <w:tr>
        <w:trPr>
          <w:trHeight w:val="21"/>
        </w:trPr>
        <w:tc>
          <w:tcPr>
            <w:tcW w:w="6360" w:type="dxa"/>
            <w:vAlign w:val="bottom"/>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r>
      <w:tr>
        <w:trPr>
          <w:trHeight w:val="229"/>
        </w:trPr>
        <w:tc>
          <w:tcPr>
            <w:tcW w:w="6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2024</w:t>
            </w:r>
          </w:p>
        </w:tc>
        <w:tc>
          <w:tcPr>
            <w:tcW w:w="560" w:type="dxa"/>
            <w:vAlign w:val="bottom"/>
          </w:tcPr>
          <w:p>
            <w:pPr>
              <w:spacing w:after="0"/>
              <w:rPr>
                <w:sz w:val="19"/>
                <w:szCs w:val="19"/>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2023</w:t>
            </w:r>
          </w:p>
        </w:tc>
      </w:tr>
      <w:tr>
        <w:trPr>
          <w:trHeight w:val="21"/>
        </w:trPr>
        <w:tc>
          <w:tcPr>
            <w:tcW w:w="636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r>
      <w:tr>
        <w:trPr>
          <w:trHeight w:val="230"/>
        </w:trPr>
        <w:tc>
          <w:tcPr>
            <w:tcW w:w="6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06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r>
      <w:tr>
        <w:trPr>
          <w:trHeight w:val="227"/>
        </w:trPr>
        <w:tc>
          <w:tcPr>
            <w:tcW w:w="636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6,099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5,623</w:t>
            </w:r>
          </w:p>
        </w:tc>
        <w:tc>
          <w:tcPr>
            <w:tcW w:w="5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5,901</w:t>
            </w:r>
          </w:p>
        </w:tc>
      </w:tr>
      <w:tr>
        <w:trPr>
          <w:trHeight w:val="29"/>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63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E4E4E4"/>
          </w:tcPr>
          <w:p>
            <w:pPr>
              <w:spacing w:after="0"/>
              <w:rPr>
                <w:sz w:val="22"/>
                <w:szCs w:val="22"/>
                <w:color w:val="auto"/>
              </w:rPr>
            </w:pPr>
          </w:p>
        </w:tc>
        <w:tc>
          <w:tcPr>
            <w:tcW w:w="5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2,255</w:t>
            </w:r>
          </w:p>
        </w:tc>
        <w:tc>
          <w:tcPr>
            <w:tcW w:w="40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2,270</w:t>
            </w:r>
          </w:p>
        </w:tc>
        <w:tc>
          <w:tcPr>
            <w:tcW w:w="560" w:type="dxa"/>
            <w:vAlign w:val="bottom"/>
            <w:tcBorders>
              <w:bottom w:val="single" w:sz="8" w:color="auto"/>
            </w:tcBorders>
            <w:shd w:val="clear" w:color="auto" w:fill="E4E4E4"/>
          </w:tcPr>
          <w:p>
            <w:pPr>
              <w:spacing w:after="0"/>
              <w:rPr>
                <w:sz w:val="22"/>
                <w:szCs w:val="22"/>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2,222</w:t>
            </w:r>
          </w:p>
        </w:tc>
      </w:tr>
      <w:tr>
        <w:trPr>
          <w:trHeight w:val="229"/>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Total Imaging</w:t>
            </w:r>
          </w:p>
        </w:tc>
        <w:tc>
          <w:tcPr>
            <w:tcW w:w="1060" w:type="dxa"/>
            <w:vAlign w:val="bottom"/>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8,353</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7,893</w:t>
            </w:r>
          </w:p>
        </w:tc>
        <w:tc>
          <w:tcPr>
            <w:tcW w:w="56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8,123</w:t>
            </w:r>
          </w:p>
        </w:tc>
      </w:tr>
      <w:tr>
        <w:trPr>
          <w:trHeight w:val="21"/>
        </w:trPr>
        <w:tc>
          <w:tcPr>
            <w:tcW w:w="6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6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AVS:</w:t>
            </w:r>
          </w:p>
        </w:tc>
        <w:tc>
          <w:tcPr>
            <w:tcW w:w="106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r>
      <w:tr>
        <w:trPr>
          <w:trHeight w:val="228"/>
        </w:trPr>
        <w:tc>
          <w:tcPr>
            <w:tcW w:w="636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2,629</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2,485</w:t>
            </w:r>
          </w:p>
        </w:tc>
        <w:tc>
          <w:tcPr>
            <w:tcW w:w="5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2,485</w:t>
            </w:r>
          </w:p>
        </w:tc>
      </w:tr>
      <w:tr>
        <w:trPr>
          <w:trHeight w:val="29"/>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63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E4E4E4"/>
          </w:tcPr>
          <w:p>
            <w:pPr>
              <w:spacing w:after="0"/>
              <w:rPr>
                <w:sz w:val="22"/>
                <w:szCs w:val="22"/>
                <w:color w:val="auto"/>
              </w:rPr>
            </w:pPr>
          </w:p>
        </w:tc>
        <w:tc>
          <w:tcPr>
            <w:tcW w:w="5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1,550</w:t>
            </w:r>
          </w:p>
        </w:tc>
        <w:tc>
          <w:tcPr>
            <w:tcW w:w="40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1,528</w:t>
            </w:r>
          </w:p>
        </w:tc>
        <w:tc>
          <w:tcPr>
            <w:tcW w:w="560" w:type="dxa"/>
            <w:vAlign w:val="bottom"/>
            <w:tcBorders>
              <w:bottom w:val="single" w:sz="8" w:color="auto"/>
            </w:tcBorders>
            <w:shd w:val="clear" w:color="auto" w:fill="E4E4E4"/>
          </w:tcPr>
          <w:p>
            <w:pPr>
              <w:spacing w:after="0"/>
              <w:rPr>
                <w:sz w:val="22"/>
                <w:szCs w:val="22"/>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1,485</w:t>
            </w:r>
          </w:p>
        </w:tc>
      </w:tr>
      <w:tr>
        <w:trPr>
          <w:trHeight w:val="229"/>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Total AVS</w:t>
            </w:r>
          </w:p>
        </w:tc>
        <w:tc>
          <w:tcPr>
            <w:tcW w:w="1060" w:type="dxa"/>
            <w:vAlign w:val="bottom"/>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4,178</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4,014</w:t>
            </w:r>
          </w:p>
        </w:tc>
        <w:tc>
          <w:tcPr>
            <w:tcW w:w="56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3,970</w:t>
            </w:r>
          </w:p>
        </w:tc>
      </w:tr>
      <w:tr>
        <w:trPr>
          <w:trHeight w:val="21"/>
        </w:trPr>
        <w:tc>
          <w:tcPr>
            <w:tcW w:w="6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6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06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r>
      <w:tr>
        <w:trPr>
          <w:trHeight w:val="227"/>
        </w:trPr>
        <w:tc>
          <w:tcPr>
            <w:tcW w:w="636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2,028</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1,930</w:t>
            </w:r>
          </w:p>
        </w:tc>
        <w:tc>
          <w:tcPr>
            <w:tcW w:w="5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1,890</w:t>
            </w:r>
          </w:p>
        </w:tc>
      </w:tr>
      <w:tr>
        <w:trPr>
          <w:trHeight w:val="29"/>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63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E4E4E4"/>
          </w:tcPr>
          <w:p>
            <w:pPr>
              <w:spacing w:after="0"/>
              <w:rPr>
                <w:sz w:val="22"/>
                <w:szCs w:val="22"/>
                <w:color w:val="auto"/>
              </w:rPr>
            </w:pPr>
          </w:p>
        </w:tc>
        <w:tc>
          <w:tcPr>
            <w:tcW w:w="5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849</w:t>
            </w:r>
          </w:p>
        </w:tc>
        <w:tc>
          <w:tcPr>
            <w:tcW w:w="40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848</w:t>
            </w:r>
          </w:p>
        </w:tc>
        <w:tc>
          <w:tcPr>
            <w:tcW w:w="560" w:type="dxa"/>
            <w:vAlign w:val="bottom"/>
            <w:tcBorders>
              <w:bottom w:val="single" w:sz="8" w:color="auto"/>
            </w:tcBorders>
            <w:shd w:val="clear" w:color="auto" w:fill="E4E4E4"/>
          </w:tcPr>
          <w:p>
            <w:pPr>
              <w:spacing w:after="0"/>
              <w:rPr>
                <w:sz w:val="22"/>
                <w:szCs w:val="22"/>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869</w:t>
            </w:r>
          </w:p>
        </w:tc>
      </w:tr>
      <w:tr>
        <w:trPr>
          <w:trHeight w:val="229"/>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Total PCS</w:t>
            </w:r>
          </w:p>
        </w:tc>
        <w:tc>
          <w:tcPr>
            <w:tcW w:w="1060" w:type="dxa"/>
            <w:vAlign w:val="bottom"/>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2,877</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2,778</w:t>
            </w:r>
          </w:p>
        </w:tc>
        <w:tc>
          <w:tcPr>
            <w:tcW w:w="56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2,759</w:t>
            </w:r>
          </w:p>
        </w:tc>
      </w:tr>
      <w:tr>
        <w:trPr>
          <w:trHeight w:val="21"/>
        </w:trPr>
        <w:tc>
          <w:tcPr>
            <w:tcW w:w="6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0"/>
        </w:trPr>
        <w:tc>
          <w:tcPr>
            <w:tcW w:w="6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PDx:</w:t>
            </w:r>
          </w:p>
        </w:tc>
        <w:tc>
          <w:tcPr>
            <w:tcW w:w="106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124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r>
      <w:tr>
        <w:trPr>
          <w:trHeight w:val="228"/>
        </w:trPr>
        <w:tc>
          <w:tcPr>
            <w:tcW w:w="6360" w:type="dxa"/>
            <w:vAlign w:val="bottom"/>
          </w:tcPr>
          <w:p>
            <w:pPr>
              <w:ind w:left="180"/>
              <w:spacing w:after="0"/>
              <w:rPr>
                <w:sz w:val="20"/>
                <w:szCs w:val="20"/>
                <w:color w:val="auto"/>
              </w:rPr>
            </w:pPr>
            <w:r>
              <w:rPr>
                <w:rFonts w:ascii="Arial" w:cs="Arial" w:eastAsia="Arial" w:hAnsi="Arial"/>
                <w:sz w:val="16"/>
                <w:szCs w:val="16"/>
                <w:color w:val="auto"/>
              </w:rPr>
              <w:t>Cost of sales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1,450</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1,236</w:t>
            </w:r>
          </w:p>
        </w:tc>
        <w:tc>
          <w:tcPr>
            <w:tcW w:w="56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1,192</w:t>
            </w:r>
          </w:p>
        </w:tc>
      </w:tr>
      <w:tr>
        <w:trPr>
          <w:trHeight w:val="29"/>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7"/>
        </w:trPr>
        <w:tc>
          <w:tcPr>
            <w:tcW w:w="6360" w:type="dxa"/>
            <w:vAlign w:val="bottom"/>
            <w:tcBorders>
              <w:bottom w:val="single" w:sz="8" w:color="auto"/>
            </w:tcBorders>
            <w:shd w:val="clear" w:color="auto" w:fill="E4E4E4"/>
          </w:tcPr>
          <w:p>
            <w:pPr>
              <w:ind w:left="180"/>
              <w:spacing w:after="0"/>
              <w:rPr>
                <w:sz w:val="20"/>
                <w:szCs w:val="20"/>
                <w:color w:val="auto"/>
              </w:rPr>
            </w:pPr>
            <w:r>
              <w:rPr>
                <w:rFonts w:ascii="Arial" w:cs="Arial" w:eastAsia="Arial" w:hAnsi="Arial"/>
                <w:sz w:val="16"/>
                <w:szCs w:val="16"/>
                <w:color w:val="auto"/>
              </w:rPr>
              <w:t>Other segment items</w:t>
            </w:r>
            <w:r>
              <w:rPr>
                <w:rFonts w:ascii="Arial" w:cs="Arial" w:eastAsia="Arial" w:hAnsi="Arial"/>
                <w:sz w:val="21"/>
                <w:szCs w:val="21"/>
                <w:color w:val="auto"/>
                <w:vertAlign w:val="superscript"/>
              </w:rPr>
              <w:t>(1)</w:t>
            </w:r>
          </w:p>
        </w:tc>
        <w:tc>
          <w:tcPr>
            <w:tcW w:w="1060" w:type="dxa"/>
            <w:vAlign w:val="bottom"/>
            <w:tcBorders>
              <w:bottom w:val="single" w:sz="8" w:color="auto"/>
            </w:tcBorders>
            <w:shd w:val="clear" w:color="auto" w:fill="E4E4E4"/>
          </w:tcPr>
          <w:p>
            <w:pPr>
              <w:spacing w:after="0"/>
              <w:rPr>
                <w:sz w:val="22"/>
                <w:szCs w:val="22"/>
                <w:color w:val="auto"/>
              </w:rPr>
            </w:pPr>
          </w:p>
        </w:tc>
        <w:tc>
          <w:tcPr>
            <w:tcW w:w="5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579</w:t>
            </w:r>
          </w:p>
        </w:tc>
        <w:tc>
          <w:tcPr>
            <w:tcW w:w="400" w:type="dxa"/>
            <w:vAlign w:val="bottom"/>
            <w:tcBorders>
              <w:bottom w:val="single" w:sz="8" w:color="auto"/>
            </w:tcBorders>
            <w:shd w:val="clear" w:color="auto" w:fill="E4E4E4"/>
          </w:tcPr>
          <w:p>
            <w:pPr>
              <w:spacing w:after="0"/>
              <w:rPr>
                <w:sz w:val="22"/>
                <w:szCs w:val="22"/>
                <w:color w:val="auto"/>
              </w:rPr>
            </w:pPr>
          </w:p>
        </w:tc>
        <w:tc>
          <w:tcPr>
            <w:tcW w:w="1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490</w:t>
            </w:r>
          </w:p>
        </w:tc>
        <w:tc>
          <w:tcPr>
            <w:tcW w:w="560" w:type="dxa"/>
            <w:vAlign w:val="bottom"/>
            <w:tcBorders>
              <w:bottom w:val="single" w:sz="8" w:color="auto"/>
            </w:tcBorders>
            <w:shd w:val="clear" w:color="auto" w:fill="E4E4E4"/>
          </w:tcPr>
          <w:p>
            <w:pPr>
              <w:spacing w:after="0"/>
              <w:rPr>
                <w:sz w:val="22"/>
                <w:szCs w:val="22"/>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497</w:t>
            </w:r>
          </w:p>
        </w:tc>
      </w:tr>
      <w:tr>
        <w:trPr>
          <w:trHeight w:val="229"/>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Total PDx</w:t>
            </w:r>
          </w:p>
        </w:tc>
        <w:tc>
          <w:tcPr>
            <w:tcW w:w="1060" w:type="dxa"/>
            <w:vAlign w:val="bottom"/>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2,028</w:t>
            </w:r>
          </w:p>
        </w:tc>
        <w:tc>
          <w:tcPr>
            <w:tcW w:w="40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1,725</w:t>
            </w:r>
          </w:p>
        </w:tc>
        <w:tc>
          <w:tcPr>
            <w:tcW w:w="56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1,689</w:t>
            </w:r>
          </w:p>
        </w:tc>
      </w:tr>
      <w:tr>
        <w:trPr>
          <w:trHeight w:val="21"/>
        </w:trPr>
        <w:tc>
          <w:tcPr>
            <w:tcW w:w="6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20" w:hanging="252"/>
        <w:spacing w:after="0" w:line="286" w:lineRule="auto"/>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segment items for each segment includes selling, general, administrative, research, and development related expenses, as well as other segment income and expenses.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Segment EBIT</w:t>
            </w:r>
          </w:p>
        </w:tc>
        <w:tc>
          <w:tcPr>
            <w:tcW w:w="1060" w:type="dxa"/>
            <w:vAlign w:val="bottom"/>
          </w:tcPr>
          <w:p>
            <w:pPr>
              <w:spacing w:after="0"/>
              <w:rPr>
                <w:sz w:val="19"/>
                <w:szCs w:val="19"/>
                <w:color w:val="auto"/>
              </w:rPr>
            </w:pPr>
          </w:p>
        </w:tc>
        <w:tc>
          <w:tcPr>
            <w:tcW w:w="276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60" w:type="dxa"/>
            <w:vAlign w:val="bottom"/>
          </w:tcPr>
          <w:p>
            <w:pPr>
              <w:spacing w:after="0"/>
              <w:rPr>
                <w:sz w:val="19"/>
                <w:szCs w:val="19"/>
                <w:color w:val="auto"/>
              </w:rPr>
            </w:pPr>
          </w:p>
        </w:tc>
      </w:tr>
      <w:tr>
        <w:trPr>
          <w:trHeight w:val="21"/>
        </w:trPr>
        <w:tc>
          <w:tcPr>
            <w:tcW w:w="6360" w:type="dxa"/>
            <w:vAlign w:val="bottom"/>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r>
      <w:tr>
        <w:trPr>
          <w:trHeight w:val="229"/>
        </w:trPr>
        <w:tc>
          <w:tcPr>
            <w:tcW w:w="6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c>
          <w:tcPr>
            <w:tcW w:w="540" w:type="dxa"/>
            <w:vAlign w:val="bottom"/>
          </w:tcPr>
          <w:p>
            <w:pPr>
              <w:spacing w:after="0"/>
              <w:rPr>
                <w:sz w:val="19"/>
                <w:szCs w:val="19"/>
                <w:color w:val="auto"/>
              </w:rPr>
            </w:pPr>
          </w:p>
        </w:tc>
        <w:tc>
          <w:tcPr>
            <w:tcW w:w="106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2023</w:t>
            </w:r>
          </w:p>
        </w:tc>
      </w:tr>
      <w:tr>
        <w:trPr>
          <w:trHeight w:val="21"/>
        </w:trPr>
        <w:tc>
          <w:tcPr>
            <w:tcW w:w="636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38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r>
      <w:tr>
        <w:trPr>
          <w:trHeight w:val="230"/>
        </w:trPr>
        <w:tc>
          <w:tcPr>
            <w:tcW w:w="6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Segment EBIT</w:t>
            </w:r>
          </w:p>
        </w:tc>
        <w:tc>
          <w:tcPr>
            <w:tcW w:w="106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r>
      <w:tr>
        <w:trPr>
          <w:trHeight w:val="228"/>
        </w:trPr>
        <w:tc>
          <w:tcPr>
            <w:tcW w:w="6360" w:type="dxa"/>
            <w:vAlign w:val="bottom"/>
          </w:tcPr>
          <w:p>
            <w:pPr>
              <w:ind w:left="140"/>
              <w:spacing w:after="0"/>
              <w:rPr>
                <w:sz w:val="20"/>
                <w:szCs w:val="20"/>
                <w:color w:val="auto"/>
              </w:rPr>
            </w:pPr>
            <w:r>
              <w:rPr>
                <w:rFonts w:ascii="Arial" w:cs="Arial" w:eastAsia="Arial" w:hAnsi="Arial"/>
                <w:sz w:val="16"/>
                <w:szCs w:val="16"/>
                <w:color w:val="auto"/>
              </w:rPr>
              <w:t>Imaging</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891</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962</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821</w:t>
            </w:r>
          </w:p>
        </w:tc>
      </w:tr>
      <w:tr>
        <w:trPr>
          <w:trHeight w:val="29"/>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3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AVS</w:t>
            </w:r>
          </w:p>
        </w:tc>
        <w:tc>
          <w:tcPr>
            <w:tcW w:w="106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1,175</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1,118</w:t>
            </w:r>
          </w:p>
        </w:tc>
        <w:tc>
          <w:tcPr>
            <w:tcW w:w="54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1,124</w:t>
            </w:r>
          </w:p>
        </w:tc>
      </w:tr>
      <w:tr>
        <w:trPr>
          <w:trHeight w:val="228"/>
        </w:trPr>
        <w:tc>
          <w:tcPr>
            <w:tcW w:w="6360" w:type="dxa"/>
            <w:vAlign w:val="bottom"/>
          </w:tcPr>
          <w:p>
            <w:pPr>
              <w:ind w:left="140"/>
              <w:spacing w:after="0"/>
              <w:rPr>
                <w:sz w:val="20"/>
                <w:szCs w:val="20"/>
                <w:color w:val="auto"/>
              </w:rPr>
            </w:pPr>
            <w:r>
              <w:rPr>
                <w:rFonts w:ascii="Arial" w:cs="Arial" w:eastAsia="Arial" w:hAnsi="Arial"/>
                <w:sz w:val="16"/>
                <w:szCs w:val="16"/>
                <w:color w:val="auto"/>
              </w:rPr>
              <w:t>PCS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209</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347</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383</w:t>
            </w:r>
          </w:p>
        </w:tc>
      </w:tr>
      <w:tr>
        <w:trPr>
          <w:trHeight w:val="29"/>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3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PDx</w:t>
            </w:r>
          </w:p>
        </w:tc>
        <w:tc>
          <w:tcPr>
            <w:tcW w:w="106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872</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783</w:t>
            </w:r>
          </w:p>
        </w:tc>
        <w:tc>
          <w:tcPr>
            <w:tcW w:w="54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617</w:t>
            </w:r>
          </w:p>
        </w:tc>
      </w:tr>
      <w:tr>
        <w:trPr>
          <w:trHeight w:val="256"/>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10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636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3,155</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3,211</w:t>
            </w:r>
          </w:p>
        </w:tc>
        <w:tc>
          <w:tcPr>
            <w:tcW w:w="54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2,956</w:t>
            </w:r>
          </w:p>
        </w:tc>
      </w:tr>
      <w:tr>
        <w:trPr>
          <w:trHeight w:val="228"/>
        </w:trPr>
        <w:tc>
          <w:tcPr>
            <w:tcW w:w="6360" w:type="dxa"/>
            <w:vAlign w:val="bottom"/>
          </w:tcPr>
          <w:p>
            <w:pPr>
              <w:ind w:left="20"/>
              <w:spacing w:after="0"/>
              <w:rPr>
                <w:sz w:val="20"/>
                <w:szCs w:val="20"/>
                <w:color w:val="auto"/>
              </w:rPr>
            </w:pPr>
            <w:r>
              <w:rPr>
                <w:rFonts w:ascii="Arial" w:cs="Arial" w:eastAsia="Arial" w:hAnsi="Arial"/>
                <w:sz w:val="16"/>
                <w:szCs w:val="16"/>
                <w:color w:val="auto"/>
              </w:rPr>
              <w:t>Restructuring costs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(120)</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9"/>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6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 and disposition-related benefits (charges)</w:t>
            </w:r>
          </w:p>
        </w:tc>
        <w:tc>
          <w:tcPr>
            <w:tcW w:w="106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54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r>
      <w:tr>
        <w:trPr>
          <w:trHeight w:val="228"/>
        </w:trPr>
        <w:tc>
          <w:tcPr>
            <w:tcW w:w="6360" w:type="dxa"/>
            <w:vAlign w:val="bottom"/>
          </w:tcPr>
          <w:p>
            <w:pPr>
              <w:ind w:left="20"/>
              <w:spacing w:after="0"/>
              <w:rPr>
                <w:sz w:val="20"/>
                <w:szCs w:val="20"/>
                <w:color w:val="auto"/>
              </w:rPr>
            </w:pPr>
            <w:r>
              <w:rPr>
                <w:rFonts w:ascii="Arial" w:cs="Arial" w:eastAsia="Arial" w:hAnsi="Arial"/>
                <w:sz w:val="16"/>
                <w:szCs w:val="16"/>
                <w:color w:val="auto"/>
              </w:rPr>
              <w:t>Gain (loss) on business and asset dispositions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6"/>
        </w:trPr>
        <w:tc>
          <w:tcPr>
            <w:tcW w:w="6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Spin-Off and separation costs</w:t>
            </w:r>
          </w:p>
        </w:tc>
        <w:tc>
          <w:tcPr>
            <w:tcW w:w="106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(251)</w:t>
            </w:r>
          </w:p>
        </w:tc>
        <w:tc>
          <w:tcPr>
            <w:tcW w:w="54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(270)</w:t>
            </w:r>
          </w:p>
        </w:tc>
      </w:tr>
      <w:tr>
        <w:trPr>
          <w:trHeight w:val="228"/>
        </w:trPr>
        <w:tc>
          <w:tcPr>
            <w:tcW w:w="6360" w:type="dxa"/>
            <w:vAlign w:val="bottom"/>
          </w:tcPr>
          <w:p>
            <w:pPr>
              <w:ind w:left="20"/>
              <w:spacing w:after="0"/>
              <w:rPr>
                <w:sz w:val="20"/>
                <w:szCs w:val="20"/>
                <w:color w:val="auto"/>
              </w:rPr>
            </w:pPr>
            <w:r>
              <w:rPr>
                <w:rFonts w:ascii="Arial" w:cs="Arial" w:eastAsia="Arial" w:hAnsi="Arial"/>
                <w:sz w:val="16"/>
                <w:szCs w:val="16"/>
                <w:color w:val="auto"/>
              </w:rPr>
              <w:t>Amortization of acquisition-related intangible assets</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(156)</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9"/>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6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revaluation gain (loss)</w:t>
            </w:r>
          </w:p>
        </w:tc>
        <w:tc>
          <w:tcPr>
            <w:tcW w:w="106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112</w:t>
            </w:r>
          </w:p>
        </w:tc>
        <w:tc>
          <w:tcPr>
            <w:tcW w:w="380" w:type="dxa"/>
            <w:vAlign w:val="bottom"/>
            <w:tcBorders>
              <w:bottom w:val="single" w:sz="8" w:color="E4E4E4"/>
            </w:tcBorders>
            <w:shd w:val="clear" w:color="auto" w:fill="E4E4E4"/>
          </w:tcPr>
          <w:p>
            <w:pPr>
              <w:spacing w:after="0"/>
              <w:rPr>
                <w:sz w:val="20"/>
                <w:szCs w:val="20"/>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54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r>
      <w:tr>
        <w:trPr>
          <w:trHeight w:val="228"/>
        </w:trPr>
        <w:tc>
          <w:tcPr>
            <w:tcW w:w="6360" w:type="dxa"/>
            <w:vAlign w:val="bottom"/>
          </w:tcPr>
          <w:p>
            <w:pPr>
              <w:ind w:left="20"/>
              <w:spacing w:after="0"/>
              <w:rPr>
                <w:sz w:val="20"/>
                <w:szCs w:val="20"/>
                <w:color w:val="auto"/>
              </w:rPr>
            </w:pPr>
            <w:r>
              <w:rPr>
                <w:rFonts w:ascii="Arial" w:cs="Arial" w:eastAsia="Arial" w:hAnsi="Arial"/>
                <w:sz w:val="16"/>
                <w:szCs w:val="16"/>
                <w:color w:val="auto"/>
              </w:rPr>
              <w:t>Interest and other financial charges – net</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(440)</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(504)</w:t>
            </w: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(542)</w:t>
            </w:r>
          </w:p>
        </w:tc>
      </w:tr>
      <w:tr>
        <w:trPr>
          <w:trHeight w:val="29"/>
        </w:trPr>
        <w:tc>
          <w:tcPr>
            <w:tcW w:w="6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2"/>
        </w:trPr>
        <w:tc>
          <w:tcPr>
            <w:tcW w:w="6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Non-operating benefit income (costs)</w:t>
            </w:r>
          </w:p>
        </w:tc>
        <w:tc>
          <w:tcPr>
            <w:tcW w:w="106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288</w:t>
            </w:r>
          </w:p>
        </w:tc>
        <w:tc>
          <w:tcPr>
            <w:tcW w:w="380" w:type="dxa"/>
            <w:vAlign w:val="bottom"/>
            <w:tcBorders>
              <w:bottom w:val="single" w:sz="8" w:color="E4E4E4"/>
            </w:tcBorders>
            <w:shd w:val="clear" w:color="auto" w:fill="E4E4E4"/>
          </w:tcPr>
          <w:p>
            <w:pPr>
              <w:spacing w:after="0"/>
              <w:rPr>
                <w:sz w:val="22"/>
                <w:szCs w:val="22"/>
                <w:color w:val="auto"/>
              </w:rPr>
            </w:pP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406</w:t>
            </w:r>
          </w:p>
        </w:tc>
        <w:tc>
          <w:tcPr>
            <w:tcW w:w="54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382</w:t>
            </w:r>
          </w:p>
        </w:tc>
      </w:tr>
      <w:tr>
        <w:trPr>
          <w:trHeight w:val="229"/>
        </w:trPr>
        <w:tc>
          <w:tcPr>
            <w:tcW w:w="6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1060" w:type="dxa"/>
            <w:vAlign w:val="bottom"/>
            <w:tcBorders>
              <w:top w:val="single" w:sz="8" w:color="auto"/>
            </w:tcBorders>
          </w:tcPr>
          <w:p>
            <w:pPr>
              <w:jc w:val="right"/>
              <w:ind w:right="879"/>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2,768</w:t>
            </w:r>
          </w:p>
        </w:tc>
        <w:tc>
          <w:tcPr>
            <w:tcW w:w="38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2,581</w:t>
            </w:r>
          </w:p>
        </w:tc>
        <w:tc>
          <w:tcPr>
            <w:tcW w:w="5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2,361</w:t>
            </w:r>
          </w:p>
        </w:tc>
      </w:tr>
      <w:tr>
        <w:trPr>
          <w:trHeight w:val="21"/>
        </w:trPr>
        <w:tc>
          <w:tcPr>
            <w:tcW w:w="6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140" w:hanging="252"/>
        <w:spacing w:after="0" w:line="304" w:lineRule="auto"/>
        <w:tabs>
          <w:tab w:leader="none" w:pos="2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Financial information not presented within the reportable segments, shown within the Other category, primarily represents HFS which does not meet the definition of an operating segment.</w:t>
      </w:r>
    </w:p>
    <w:p>
      <w:pPr>
        <w:spacing w:after="0" w:line="16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following table represents the depreciation and amortization amounts reported within the Segment EBIT metric for our reportable segments. Depreciation and amortization expense related to shared property, plant, and equipment and intangibles, exclusive of acquisition-related intangible assets, has been fully allocated to our segments and those allocations are reflected in the amounts presented in the table below. These amounts are included within Cost of sales and Other segment items disclosed in the Significant Expenses by Segment table above.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Depreciation and Amortization by Segment</w:t>
            </w:r>
          </w:p>
        </w:tc>
        <w:tc>
          <w:tcPr>
            <w:tcW w:w="1100" w:type="dxa"/>
            <w:vAlign w:val="bottom"/>
          </w:tcPr>
          <w:p>
            <w:pPr>
              <w:spacing w:after="0"/>
              <w:rPr>
                <w:sz w:val="19"/>
                <w:szCs w:val="19"/>
                <w:color w:val="auto"/>
              </w:rPr>
            </w:pPr>
          </w:p>
        </w:tc>
        <w:tc>
          <w:tcPr>
            <w:tcW w:w="27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454545"/>
              </w:rPr>
              <w:t>For the years ended December 31</w:t>
            </w:r>
          </w:p>
        </w:tc>
        <w:tc>
          <w:tcPr>
            <w:tcW w:w="1080" w:type="dxa"/>
            <w:vAlign w:val="bottom"/>
          </w:tcPr>
          <w:p>
            <w:pPr>
              <w:spacing w:after="0"/>
              <w:rPr>
                <w:sz w:val="19"/>
                <w:szCs w:val="19"/>
                <w:color w:val="auto"/>
              </w:rPr>
            </w:pPr>
          </w:p>
        </w:tc>
      </w:tr>
      <w:tr>
        <w:trPr>
          <w:trHeight w:val="21"/>
        </w:trPr>
        <w:tc>
          <w:tcPr>
            <w:tcW w:w="6280" w:type="dxa"/>
            <w:vAlign w:val="bottom"/>
          </w:tcPr>
          <w:p>
            <w:pPr>
              <w:spacing w:after="0" w:line="20" w:lineRule="exact"/>
              <w:rPr>
                <w:sz w:val="1"/>
                <w:szCs w:val="1"/>
                <w:color w:val="auto"/>
              </w:rPr>
            </w:pPr>
          </w:p>
        </w:tc>
        <w:tc>
          <w:tcPr>
            <w:tcW w:w="110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29"/>
        </w:trPr>
        <w:tc>
          <w:tcPr>
            <w:tcW w:w="6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c>
          <w:tcPr>
            <w:tcW w:w="540" w:type="dxa"/>
            <w:vAlign w:val="bottom"/>
          </w:tcPr>
          <w:p>
            <w:pPr>
              <w:spacing w:after="0"/>
              <w:rPr>
                <w:sz w:val="19"/>
                <w:szCs w:val="19"/>
                <w:color w:val="auto"/>
              </w:rPr>
            </w:pPr>
          </w:p>
        </w:tc>
        <w:tc>
          <w:tcPr>
            <w:tcW w:w="108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2023</w:t>
            </w:r>
          </w:p>
        </w:tc>
      </w:tr>
      <w:tr>
        <w:trPr>
          <w:trHeight w:val="21"/>
        </w:trPr>
        <w:tc>
          <w:tcPr>
            <w:tcW w:w="6280" w:type="dxa"/>
            <w:vAlign w:val="bottom"/>
            <w:tcBorders>
              <w:bottom w:val="single" w:sz="8" w:color="6022A6"/>
            </w:tcBorders>
          </w:tcPr>
          <w:p>
            <w:pPr>
              <w:spacing w:after="0" w:line="20" w:lineRule="exact"/>
              <w:rPr>
                <w:sz w:val="1"/>
                <w:szCs w:val="1"/>
                <w:color w:val="auto"/>
              </w:rPr>
            </w:pPr>
          </w:p>
        </w:tc>
        <w:tc>
          <w:tcPr>
            <w:tcW w:w="110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r>
      <w:tr>
        <w:trPr>
          <w:trHeight w:val="230"/>
        </w:trPr>
        <w:tc>
          <w:tcPr>
            <w:tcW w:w="6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Imaging</w:t>
            </w:r>
          </w:p>
        </w:tc>
        <w:tc>
          <w:tcPr>
            <w:tcW w:w="1100" w:type="dxa"/>
            <w:vAlign w:val="bottom"/>
            <w:tcBorders>
              <w:bottom w:val="single" w:sz="8" w:color="E4E4E4"/>
            </w:tcBorders>
            <w:shd w:val="clear" w:color="auto" w:fill="E4E4E4"/>
          </w:tcPr>
          <w:p>
            <w:pPr>
              <w:jc w:val="right"/>
              <w:ind w:right="9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227</w:t>
            </w:r>
          </w:p>
        </w:tc>
        <w:tc>
          <w:tcPr>
            <w:tcW w:w="40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249</w:t>
            </w:r>
          </w:p>
        </w:tc>
        <w:tc>
          <w:tcPr>
            <w:tcW w:w="540" w:type="dxa"/>
            <w:vAlign w:val="bottom"/>
            <w:tcBorders>
              <w:bottom w:val="single" w:sz="8" w:color="E4E4E4"/>
            </w:tcBorders>
            <w:shd w:val="clear" w:color="auto" w:fill="E4E4E4"/>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274</w:t>
            </w:r>
          </w:p>
        </w:tc>
      </w:tr>
      <w:tr>
        <w:trPr>
          <w:trHeight w:val="228"/>
        </w:trPr>
        <w:tc>
          <w:tcPr>
            <w:tcW w:w="6280" w:type="dxa"/>
            <w:vAlign w:val="bottom"/>
          </w:tcPr>
          <w:p>
            <w:pPr>
              <w:ind w:left="20"/>
              <w:spacing w:after="0"/>
              <w:rPr>
                <w:sz w:val="20"/>
                <w:szCs w:val="20"/>
                <w:color w:val="auto"/>
              </w:rPr>
            </w:pPr>
            <w:r>
              <w:rPr>
                <w:rFonts w:ascii="Arial" w:cs="Arial" w:eastAsia="Arial" w:hAnsi="Arial"/>
                <w:sz w:val="16"/>
                <w:szCs w:val="16"/>
                <w:color w:val="auto"/>
              </w:rPr>
              <w:t>AVS</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70</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9"/>
        </w:trPr>
        <w:tc>
          <w:tcPr>
            <w:tcW w:w="6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6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PCS</w:t>
            </w:r>
          </w:p>
        </w:tc>
        <w:tc>
          <w:tcPr>
            <w:tcW w:w="1100" w:type="dxa"/>
            <w:vAlign w:val="bottom"/>
            <w:tcBorders>
              <w:bottom w:val="single" w:sz="8" w:color="E4E4E4"/>
            </w:tcBorders>
            <w:shd w:val="clear" w:color="auto" w:fill="E4E4E4"/>
          </w:tcPr>
          <w:p>
            <w:pPr>
              <w:spacing w:after="0"/>
              <w:rPr>
                <w:sz w:val="20"/>
                <w:szCs w:val="20"/>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c>
          <w:tcPr>
            <w:tcW w:w="400" w:type="dxa"/>
            <w:vAlign w:val="bottom"/>
            <w:tcBorders>
              <w:bottom w:val="single" w:sz="8" w:color="E4E4E4"/>
            </w:tcBorders>
            <w:shd w:val="clear" w:color="auto" w:fill="E4E4E4"/>
          </w:tcPr>
          <w:p>
            <w:pPr>
              <w:spacing w:after="0"/>
              <w:rPr>
                <w:sz w:val="20"/>
                <w:szCs w:val="20"/>
                <w:color w:val="auto"/>
              </w:rPr>
            </w:pP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w:t>
            </w:r>
          </w:p>
        </w:tc>
        <w:tc>
          <w:tcPr>
            <w:tcW w:w="54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69</w:t>
            </w:r>
          </w:p>
        </w:tc>
      </w:tr>
      <w:tr>
        <w:trPr>
          <w:trHeight w:val="228"/>
        </w:trPr>
        <w:tc>
          <w:tcPr>
            <w:tcW w:w="6280" w:type="dxa"/>
            <w:vAlign w:val="bottom"/>
          </w:tcPr>
          <w:p>
            <w:pPr>
              <w:ind w:left="20"/>
              <w:spacing w:after="0"/>
              <w:rPr>
                <w:sz w:val="20"/>
                <w:szCs w:val="20"/>
                <w:color w:val="auto"/>
              </w:rPr>
            </w:pPr>
            <w:r>
              <w:rPr>
                <w:rFonts w:ascii="Arial" w:cs="Arial" w:eastAsia="Arial" w:hAnsi="Arial"/>
                <w:sz w:val="16"/>
                <w:szCs w:val="16"/>
                <w:color w:val="auto"/>
              </w:rPr>
              <w:t>PDx</w:t>
            </w:r>
          </w:p>
        </w:tc>
        <w:tc>
          <w:tcPr>
            <w:tcW w:w="1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w:t>
            </w: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9"/>
        </w:trPr>
        <w:tc>
          <w:tcPr>
            <w:tcW w:w="6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ind w:right="580"/>
        <w:spacing w:after="0" w:line="304" w:lineRule="auto"/>
        <w:rPr>
          <w:sz w:val="20"/>
          <w:szCs w:val="20"/>
          <w:color w:val="auto"/>
        </w:rPr>
      </w:pPr>
      <w:r>
        <w:rPr>
          <w:rFonts w:ascii="Arial" w:cs="Arial" w:eastAsia="Arial" w:hAnsi="Arial"/>
          <w:sz w:val="16"/>
          <w:szCs w:val="16"/>
          <w:color w:val="auto"/>
        </w:rPr>
        <w:t>The Company does not report total assets by segment as the Company’s CODM does not assess performance, make strategic decisions, or allocate resources based on assets.</w:t>
      </w:r>
    </w:p>
    <w:p>
      <w:pPr>
        <w:sectPr>
          <w:pgSz w:w="11900" w:h="16838" w:orient="portrait"/>
          <w:cols w:equalWidth="0" w:num="1">
            <w:col w:w="11240"/>
          </w:cols>
          <w:pgMar w:left="32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type w:val="continuous"/>
        </w:sectPr>
      </w:pPr>
    </w:p>
    <w:bookmarkStart w:id="72" w:name="page73"/>
    <w:bookmarkEnd w:id="7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Pr>
          <w:p>
            <w:pPr>
              <w:spacing w:after="0"/>
              <w:rPr>
                <w:sz w:val="20"/>
                <w:szCs w:val="20"/>
                <w:color w:val="auto"/>
              </w:rPr>
            </w:pPr>
            <w:r>
              <w:rPr>
                <w:rFonts w:ascii="Arial" w:cs="Arial" w:eastAsia="Arial" w:hAnsi="Arial"/>
                <w:sz w:val="16"/>
                <w:szCs w:val="16"/>
                <w:b w:val="1"/>
                <w:bCs w:val="1"/>
                <w:color w:val="auto"/>
              </w:rPr>
              <w:t>GEOGRAPHIC INFORMATION.</w:t>
            </w: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10"/>
        </w:trPr>
        <w:tc>
          <w:tcPr>
            <w:tcW w:w="6460" w:type="dxa"/>
            <w:vAlign w:val="bottom"/>
          </w:tcPr>
          <w:p>
            <w:pPr>
              <w:spacing w:after="0"/>
              <w:rPr>
                <w:sz w:val="20"/>
                <w:szCs w:val="20"/>
                <w:color w:val="auto"/>
              </w:rPr>
            </w:pPr>
            <w:r>
              <w:rPr>
                <w:rFonts w:ascii="Arial" w:cs="Arial" w:eastAsia="Arial" w:hAnsi="Arial"/>
                <w:sz w:val="16"/>
                <w:szCs w:val="16"/>
                <w:color w:val="auto"/>
              </w:rPr>
              <w:t>Revenues are classified according to the country in which products and services are sold.</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94"/>
        </w:trPr>
        <w:tc>
          <w:tcPr>
            <w:tcW w:w="6460" w:type="dxa"/>
            <w:vAlign w:val="bottom"/>
          </w:tcPr>
          <w:p>
            <w:pPr>
              <w:ind w:left="20"/>
              <w:spacing w:after="0"/>
              <w:rPr>
                <w:sz w:val="20"/>
                <w:szCs w:val="20"/>
                <w:color w:val="auto"/>
              </w:rPr>
            </w:pPr>
            <w:r>
              <w:rPr>
                <w:rFonts w:ascii="Arial" w:cs="Arial" w:eastAsia="Arial" w:hAnsi="Arial"/>
                <w:sz w:val="16"/>
                <w:szCs w:val="16"/>
                <w:b w:val="1"/>
                <w:bCs w:val="1"/>
                <w:color w:val="auto"/>
              </w:rPr>
              <w:t>Total Revenues by Country</w:t>
            </w:r>
          </w:p>
        </w:tc>
        <w:tc>
          <w:tcPr>
            <w:tcW w:w="1000" w:type="dxa"/>
            <w:vAlign w:val="bottom"/>
          </w:tcPr>
          <w:p>
            <w:pPr>
              <w:spacing w:after="0"/>
              <w:rPr>
                <w:sz w:val="24"/>
                <w:szCs w:val="24"/>
                <w:color w:val="auto"/>
              </w:rPr>
            </w:pPr>
          </w:p>
        </w:tc>
        <w:tc>
          <w:tcPr>
            <w:tcW w:w="27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40" w:type="dxa"/>
            <w:vAlign w:val="bottom"/>
          </w:tcPr>
          <w:p>
            <w:pPr>
              <w:spacing w:after="0"/>
              <w:rPr>
                <w:sz w:val="24"/>
                <w:szCs w:val="24"/>
                <w:color w:val="auto"/>
              </w:rPr>
            </w:pPr>
          </w:p>
        </w:tc>
      </w:tr>
      <w:tr>
        <w:trPr>
          <w:trHeight w:val="21"/>
        </w:trPr>
        <w:tc>
          <w:tcPr>
            <w:tcW w:w="6460" w:type="dxa"/>
            <w:vAlign w:val="bottom"/>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r>
      <w:tr>
        <w:trPr>
          <w:trHeight w:val="229"/>
        </w:trPr>
        <w:tc>
          <w:tcPr>
            <w:tcW w:w="6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Arial" w:cs="Arial" w:eastAsia="Arial" w:hAnsi="Arial"/>
                <w:sz w:val="16"/>
                <w:szCs w:val="16"/>
                <w:b w:val="1"/>
                <w:bCs w:val="1"/>
                <w:color w:val="454545"/>
              </w:rPr>
              <w:t>2024</w:t>
            </w:r>
          </w:p>
        </w:tc>
        <w:tc>
          <w:tcPr>
            <w:tcW w:w="580" w:type="dxa"/>
            <w:vAlign w:val="bottom"/>
          </w:tcPr>
          <w:p>
            <w:pPr>
              <w:spacing w:after="0"/>
              <w:rPr>
                <w:sz w:val="19"/>
                <w:szCs w:val="19"/>
                <w:color w:val="auto"/>
              </w:rPr>
            </w:pPr>
          </w:p>
        </w:tc>
        <w:tc>
          <w:tcPr>
            <w:tcW w:w="1040" w:type="dxa"/>
            <w:vAlign w:val="bottom"/>
          </w:tcPr>
          <w:p>
            <w:pPr>
              <w:jc w:val="right"/>
              <w:ind w:right="539"/>
              <w:spacing w:after="0"/>
              <w:rPr>
                <w:sz w:val="20"/>
                <w:szCs w:val="20"/>
                <w:color w:val="auto"/>
              </w:rPr>
            </w:pPr>
            <w:r>
              <w:rPr>
                <w:rFonts w:ascii="Arial" w:cs="Arial" w:eastAsia="Arial" w:hAnsi="Arial"/>
                <w:sz w:val="16"/>
                <w:szCs w:val="16"/>
                <w:b w:val="1"/>
                <w:bCs w:val="1"/>
                <w:color w:val="454545"/>
              </w:rPr>
              <w:t>2023</w:t>
            </w:r>
          </w:p>
        </w:tc>
      </w:tr>
      <w:tr>
        <w:trPr>
          <w:trHeight w:val="21"/>
        </w:trPr>
        <w:tc>
          <w:tcPr>
            <w:tcW w:w="646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40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040" w:type="dxa"/>
            <w:vAlign w:val="bottom"/>
            <w:tcBorders>
              <w:bottom w:val="single" w:sz="8" w:color="6400A0"/>
            </w:tcBorders>
          </w:tcPr>
          <w:p>
            <w:pPr>
              <w:spacing w:after="0" w:line="20" w:lineRule="exact"/>
              <w:rPr>
                <w:sz w:val="1"/>
                <w:szCs w:val="1"/>
                <w:color w:val="auto"/>
              </w:rPr>
            </w:pPr>
          </w:p>
        </w:tc>
      </w:tr>
      <w:tr>
        <w:trPr>
          <w:trHeight w:val="230"/>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United States</w:t>
            </w:r>
          </w:p>
        </w:tc>
        <w:tc>
          <w:tcPr>
            <w:tcW w:w="100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9,168</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8,617</w:t>
            </w:r>
          </w:p>
        </w:tc>
        <w:tc>
          <w:tcPr>
            <w:tcW w:w="58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8,228</w:t>
            </w:r>
          </w:p>
        </w:tc>
      </w:tr>
      <w:tr>
        <w:trPr>
          <w:trHeight w:val="228"/>
        </w:trPr>
        <w:tc>
          <w:tcPr>
            <w:tcW w:w="6460" w:type="dxa"/>
            <w:vAlign w:val="bottom"/>
          </w:tcPr>
          <w:p>
            <w:pPr>
              <w:ind w:left="20"/>
              <w:spacing w:after="0"/>
              <w:rPr>
                <w:sz w:val="20"/>
                <w:szCs w:val="20"/>
                <w:color w:val="auto"/>
              </w:rPr>
            </w:pPr>
            <w:r>
              <w:rPr>
                <w:rFonts w:ascii="Arial" w:cs="Arial" w:eastAsia="Arial" w:hAnsi="Arial"/>
                <w:sz w:val="16"/>
                <w:szCs w:val="16"/>
                <w:color w:val="auto"/>
              </w:rPr>
              <w:t>China</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2,031</w:t>
            </w:r>
          </w:p>
        </w:tc>
        <w:tc>
          <w:tcPr>
            <w:tcW w:w="4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2,135</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2,560</w:t>
            </w:r>
          </w:p>
        </w:tc>
      </w:tr>
      <w:tr>
        <w:trPr>
          <w:trHeight w:val="29"/>
        </w:trPr>
        <w:tc>
          <w:tcPr>
            <w:tcW w:w="6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2"/>
        </w:trPr>
        <w:tc>
          <w:tcPr>
            <w:tcW w:w="6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countries</w:t>
            </w:r>
          </w:p>
        </w:tc>
        <w:tc>
          <w:tcPr>
            <w:tcW w:w="100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9,427</w:t>
            </w:r>
          </w:p>
        </w:tc>
        <w:tc>
          <w:tcPr>
            <w:tcW w:w="400" w:type="dxa"/>
            <w:vAlign w:val="bottom"/>
            <w:tcBorders>
              <w:bottom w:val="single" w:sz="8" w:color="E4E4E4"/>
            </w:tcBorders>
            <w:shd w:val="clear" w:color="auto" w:fill="E4E4E4"/>
          </w:tcPr>
          <w:p>
            <w:pPr>
              <w:spacing w:after="0"/>
              <w:rPr>
                <w:sz w:val="22"/>
                <w:szCs w:val="22"/>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8,919</w:t>
            </w:r>
          </w:p>
        </w:tc>
        <w:tc>
          <w:tcPr>
            <w:tcW w:w="58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8,764</w:t>
            </w:r>
          </w:p>
        </w:tc>
      </w:tr>
      <w:tr>
        <w:trPr>
          <w:trHeight w:val="229"/>
        </w:trPr>
        <w:tc>
          <w:tcPr>
            <w:tcW w:w="6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revenues</w:t>
            </w:r>
          </w:p>
        </w:tc>
        <w:tc>
          <w:tcPr>
            <w:tcW w:w="10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20,625</w:t>
            </w:r>
          </w:p>
        </w:tc>
        <w:tc>
          <w:tcPr>
            <w:tcW w:w="4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19,672</w:t>
            </w:r>
          </w:p>
        </w:tc>
        <w:tc>
          <w:tcPr>
            <w:tcW w:w="58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19,552</w:t>
            </w:r>
          </w:p>
        </w:tc>
      </w:tr>
      <w:tr>
        <w:trPr>
          <w:trHeight w:val="21"/>
        </w:trPr>
        <w:tc>
          <w:tcPr>
            <w:tcW w:w="6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Long-lived assets represent Property, plant, and equipment – net and are classified according to the country where the asset is located.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80" w:type="dxa"/>
            <w:vAlign w:val="bottom"/>
          </w:tcPr>
          <w:p>
            <w:pPr>
              <w:ind w:left="20"/>
              <w:spacing w:after="0"/>
              <w:rPr>
                <w:sz w:val="20"/>
                <w:szCs w:val="20"/>
                <w:color w:val="auto"/>
              </w:rPr>
            </w:pPr>
            <w:r>
              <w:rPr>
                <w:rFonts w:ascii="Arial" w:cs="Arial" w:eastAsia="Arial" w:hAnsi="Arial"/>
                <w:sz w:val="16"/>
                <w:szCs w:val="16"/>
                <w:b w:val="1"/>
                <w:bCs w:val="1"/>
                <w:color w:val="auto"/>
              </w:rPr>
              <w:t>Long-Lived Assets – Net by Country</w:t>
            </w:r>
          </w:p>
        </w:tc>
        <w:tc>
          <w:tcPr>
            <w:tcW w:w="180" w:type="dxa"/>
            <w:vAlign w:val="bottom"/>
          </w:tcPr>
          <w:p>
            <w:pPr>
              <w:spacing w:after="0"/>
              <w:rPr>
                <w:sz w:val="19"/>
                <w:szCs w:val="19"/>
                <w:color w:val="auto"/>
              </w:rPr>
            </w:pPr>
          </w:p>
        </w:tc>
        <w:tc>
          <w:tcPr>
            <w:tcW w:w="19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19"/>
                <w:szCs w:val="19"/>
                <w:color w:val="auto"/>
              </w:rPr>
            </w:pPr>
          </w:p>
        </w:tc>
      </w:tr>
      <w:tr>
        <w:trPr>
          <w:trHeight w:val="21"/>
        </w:trPr>
        <w:tc>
          <w:tcPr>
            <w:tcW w:w="73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ind w:right="119"/>
              <w:spacing w:after="0"/>
              <w:rPr>
                <w:sz w:val="20"/>
                <w:szCs w:val="20"/>
                <w:color w:val="auto"/>
              </w:rPr>
            </w:pPr>
            <w:r>
              <w:rPr>
                <w:rFonts w:ascii="Arial" w:cs="Arial" w:eastAsia="Arial" w:hAnsi="Arial"/>
                <w:sz w:val="16"/>
                <w:szCs w:val="16"/>
                <w:b w:val="1"/>
                <w:bCs w:val="1"/>
                <w:color w:val="454545"/>
              </w:rPr>
              <w:t>December 31, 2025</w:t>
            </w:r>
          </w:p>
        </w:tc>
        <w:tc>
          <w:tcPr>
            <w:tcW w:w="24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38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30"/>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United States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962</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908</w:t>
            </w:r>
          </w:p>
        </w:tc>
      </w:tr>
      <w:tr>
        <w:trPr>
          <w:trHeight w:val="228"/>
        </w:trPr>
        <w:tc>
          <w:tcPr>
            <w:tcW w:w="7380" w:type="dxa"/>
            <w:vAlign w:val="bottom"/>
          </w:tcPr>
          <w:p>
            <w:pPr>
              <w:ind w:left="20"/>
              <w:spacing w:after="0"/>
              <w:rPr>
                <w:sz w:val="20"/>
                <w:szCs w:val="20"/>
                <w:color w:val="auto"/>
              </w:rPr>
            </w:pPr>
            <w:r>
              <w:rPr>
                <w:rFonts w:ascii="Arial" w:cs="Arial" w:eastAsia="Arial" w:hAnsi="Arial"/>
                <w:sz w:val="16"/>
                <w:szCs w:val="16"/>
                <w:color w:val="auto"/>
              </w:rPr>
              <w:t>China</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439</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392</w:t>
            </w:r>
          </w:p>
        </w:tc>
      </w:tr>
      <w:tr>
        <w:trPr>
          <w:trHeight w:val="29"/>
        </w:trPr>
        <w:tc>
          <w:tcPr>
            <w:tcW w:w="7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37"/>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Norway</w:t>
            </w:r>
          </w:p>
        </w:tc>
        <w:tc>
          <w:tcPr>
            <w:tcW w:w="18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368</w:t>
            </w:r>
          </w:p>
        </w:tc>
        <w:tc>
          <w:tcPr>
            <w:tcW w:w="24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296</w:t>
            </w:r>
          </w:p>
        </w:tc>
      </w:tr>
      <w:tr>
        <w:trPr>
          <w:trHeight w:val="227"/>
        </w:trPr>
        <w:tc>
          <w:tcPr>
            <w:tcW w:w="7380" w:type="dxa"/>
            <w:vAlign w:val="bottom"/>
          </w:tcPr>
          <w:p>
            <w:pPr>
              <w:ind w:left="20"/>
              <w:spacing w:after="0"/>
              <w:rPr>
                <w:sz w:val="20"/>
                <w:szCs w:val="20"/>
                <w:color w:val="auto"/>
              </w:rPr>
            </w:pPr>
            <w:r>
              <w:rPr>
                <w:rFonts w:ascii="Arial" w:cs="Arial" w:eastAsia="Arial" w:hAnsi="Arial"/>
                <w:sz w:val="16"/>
                <w:szCs w:val="16"/>
                <w:color w:val="auto"/>
              </w:rPr>
              <w:t>Japan</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296</w:t>
            </w: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9"/>
        </w:trPr>
        <w:tc>
          <w:tcPr>
            <w:tcW w:w="7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62"/>
        </w:trPr>
        <w:tc>
          <w:tcPr>
            <w:tcW w:w="73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countries</w:t>
            </w:r>
          </w:p>
        </w:tc>
        <w:tc>
          <w:tcPr>
            <w:tcW w:w="18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1,027</w:t>
            </w:r>
          </w:p>
        </w:tc>
        <w:tc>
          <w:tcPr>
            <w:tcW w:w="240" w:type="dxa"/>
            <w:vAlign w:val="bottom"/>
            <w:tcBorders>
              <w:bottom w:val="single" w:sz="8" w:color="E4E4E4"/>
            </w:tcBorders>
            <w:shd w:val="clear" w:color="auto" w:fill="E4E4E4"/>
          </w:tcPr>
          <w:p>
            <w:pPr>
              <w:spacing w:after="0"/>
              <w:rPr>
                <w:sz w:val="22"/>
                <w:szCs w:val="22"/>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893</w:t>
            </w:r>
          </w:p>
        </w:tc>
      </w:tr>
      <w:tr>
        <w:trPr>
          <w:trHeight w:val="229"/>
        </w:trPr>
        <w:tc>
          <w:tcPr>
            <w:tcW w:w="73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long-lived assets –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3,092</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2,550</w:t>
            </w:r>
          </w:p>
        </w:tc>
      </w:tr>
      <w:tr>
        <w:trPr>
          <w:trHeight w:val="21"/>
        </w:trPr>
        <w:tc>
          <w:tcPr>
            <w:tcW w:w="7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RECEIVABLES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Current Receivables</w:t>
            </w:r>
          </w:p>
        </w:tc>
        <w:tc>
          <w:tcPr>
            <w:tcW w:w="16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2025</w:t>
            </w:r>
          </w:p>
        </w:tc>
        <w:tc>
          <w:tcPr>
            <w:tcW w:w="240" w:type="dxa"/>
            <w:vAlign w:val="bottom"/>
          </w:tcPr>
          <w:p>
            <w:pPr>
              <w:spacing w:after="0"/>
              <w:rPr>
                <w:sz w:val="19"/>
                <w:szCs w:val="19"/>
                <w:color w:val="auto"/>
              </w:rPr>
            </w:pPr>
          </w:p>
        </w:tc>
        <w:tc>
          <w:tcPr>
            <w:tcW w:w="174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18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50"/>
        </w:trPr>
        <w:tc>
          <w:tcPr>
            <w:tcW w:w="73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Current customer receivables</w:t>
            </w:r>
            <w:r>
              <w:rPr>
                <w:rFonts w:ascii="Arial" w:cs="Arial" w:eastAsia="Arial" w:hAnsi="Arial"/>
                <w:sz w:val="21"/>
                <w:szCs w:val="21"/>
                <w:b w:val="1"/>
                <w:bCs w:val="1"/>
                <w:color w:val="auto"/>
                <w:vertAlign w:val="superscript"/>
              </w:rPr>
              <w:t>(1)</w:t>
            </w:r>
          </w:p>
        </w:tc>
        <w:tc>
          <w:tcPr>
            <w:tcW w:w="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bottom w:val="single" w:sz="8" w:color="auto"/>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3,719</w:t>
            </w: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3,382</w:t>
            </w:r>
          </w:p>
        </w:tc>
      </w:tr>
      <w:tr>
        <w:trPr>
          <w:trHeight w:val="221"/>
        </w:trPr>
        <w:tc>
          <w:tcPr>
            <w:tcW w:w="7300" w:type="dxa"/>
            <w:vAlign w:val="bottom"/>
          </w:tcPr>
          <w:p>
            <w:pPr>
              <w:ind w:left="20"/>
              <w:spacing w:after="0"/>
              <w:rPr>
                <w:sz w:val="20"/>
                <w:szCs w:val="20"/>
                <w:color w:val="auto"/>
              </w:rPr>
            </w:pPr>
            <w:r>
              <w:rPr>
                <w:rFonts w:ascii="Arial" w:cs="Arial" w:eastAsia="Arial" w:hAnsi="Arial"/>
                <w:sz w:val="16"/>
                <w:szCs w:val="16"/>
                <w:color w:val="auto"/>
              </w:rPr>
              <w:t>Non-income based tax receivables</w:t>
            </w:r>
          </w:p>
        </w:tc>
        <w:tc>
          <w:tcPr>
            <w:tcW w:w="160" w:type="dxa"/>
            <w:vAlign w:val="bottom"/>
          </w:tcPr>
          <w:p>
            <w:pPr>
              <w:spacing w:after="0"/>
              <w:rPr>
                <w:sz w:val="19"/>
                <w:szCs w:val="19"/>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159</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9"/>
        </w:trPr>
        <w:tc>
          <w:tcPr>
            <w:tcW w:w="7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180</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sundry receivables</w:t>
            </w:r>
          </w:p>
        </w:tc>
        <w:tc>
          <w:tcPr>
            <w:tcW w:w="16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339</w:t>
            </w: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287</w:t>
            </w:r>
          </w:p>
        </w:tc>
      </w:tr>
      <w:tr>
        <w:trPr>
          <w:trHeight w:val="21"/>
        </w:trPr>
        <w:tc>
          <w:tcPr>
            <w:tcW w:w="7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60" w:type="dxa"/>
            <w:vAlign w:val="bottom"/>
            <w:tcBorders>
              <w:bottom w:val="single" w:sz="8" w:color="E4E4E4"/>
            </w:tcBorders>
            <w:shd w:val="clear" w:color="auto" w:fill="E4E4E4"/>
          </w:tcPr>
          <w:p>
            <w:pPr>
              <w:spacing w:after="0"/>
              <w:rPr>
                <w:sz w:val="22"/>
                <w:szCs w:val="22"/>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current receivables – net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3,955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3,566</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100" w:hanging="252"/>
        <w:spacing w:after="0" w:line="275" w:lineRule="auto"/>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Chargebacks, which are primarily related to our PDx business, are generally settled through issuance of credits, typically within one month of initial recognition, and are recorded as a reduction to Current customer receivables. Balances related to chargebacks were $148 million and $153 million as of December 31, 2025 and 2024,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Activity in the allowance for credit losses related to current receivables consisted of the following:</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960" w:type="dxa"/>
            <w:vAlign w:val="bottom"/>
          </w:tcPr>
          <w:p>
            <w:pPr>
              <w:spacing w:after="0"/>
              <w:rPr>
                <w:sz w:val="19"/>
                <w:szCs w:val="19"/>
                <w:color w:val="auto"/>
              </w:rPr>
            </w:pPr>
          </w:p>
        </w:tc>
      </w:tr>
      <w:tr>
        <w:trPr>
          <w:trHeight w:val="21"/>
        </w:trPr>
        <w:tc>
          <w:tcPr>
            <w:tcW w:w="6660" w:type="dxa"/>
            <w:vAlign w:val="bottom"/>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r>
      <w:tr>
        <w:trPr>
          <w:trHeight w:val="220"/>
        </w:trPr>
        <w:tc>
          <w:tcPr>
            <w:tcW w:w="6660" w:type="dxa"/>
            <w:vAlign w:val="bottom"/>
            <w:tcBorders>
              <w:bottom w:val="single" w:sz="8" w:color="6022A6"/>
            </w:tcBorders>
          </w:tcPr>
          <w:p>
            <w:pPr>
              <w:spacing w:after="0"/>
              <w:rPr>
                <w:sz w:val="19"/>
                <w:szCs w:val="19"/>
                <w:color w:val="auto"/>
              </w:rPr>
            </w:pPr>
          </w:p>
        </w:tc>
        <w:tc>
          <w:tcPr>
            <w:tcW w:w="98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2025</w:t>
            </w:r>
          </w:p>
        </w:tc>
        <w:tc>
          <w:tcPr>
            <w:tcW w:w="540" w:type="dxa"/>
            <w:vAlign w:val="bottom"/>
            <w:tcBorders>
              <w:bottom w:val="single" w:sz="8" w:color="6022A6"/>
            </w:tcBorders>
          </w:tcPr>
          <w:p>
            <w:pPr>
              <w:spacing w:after="0"/>
              <w:rPr>
                <w:sz w:val="19"/>
                <w:szCs w:val="19"/>
                <w:color w:val="auto"/>
              </w:rPr>
            </w:pPr>
          </w:p>
        </w:tc>
        <w:tc>
          <w:tcPr>
            <w:tcW w:w="1080" w:type="dxa"/>
            <w:vAlign w:val="bottom"/>
            <w:tcBorders>
              <w:bottom w:val="single" w:sz="8" w:color="6022A6"/>
            </w:tcBorders>
          </w:tcPr>
          <w:p>
            <w:pPr>
              <w:jc w:val="right"/>
              <w:ind w:right="39"/>
              <w:spacing w:after="0"/>
              <w:rPr>
                <w:sz w:val="20"/>
                <w:szCs w:val="20"/>
                <w:color w:val="auto"/>
              </w:rPr>
            </w:pPr>
            <w:r>
              <w:rPr>
                <w:rFonts w:ascii="Arial" w:cs="Arial" w:eastAsia="Arial" w:hAnsi="Arial"/>
                <w:sz w:val="16"/>
                <w:szCs w:val="16"/>
                <w:b w:val="1"/>
                <w:bCs w:val="1"/>
                <w:color w:val="454545"/>
              </w:rPr>
              <w:t>2024</w:t>
            </w:r>
          </w:p>
        </w:tc>
        <w:tc>
          <w:tcPr>
            <w:tcW w:w="460" w:type="dxa"/>
            <w:vAlign w:val="bottom"/>
            <w:tcBorders>
              <w:bottom w:val="single" w:sz="8" w:color="6022A6"/>
            </w:tcBorders>
          </w:tcPr>
          <w:p>
            <w:pPr>
              <w:spacing w:after="0"/>
              <w:rPr>
                <w:sz w:val="19"/>
                <w:szCs w:val="19"/>
                <w:color w:val="auto"/>
              </w:rPr>
            </w:pPr>
          </w:p>
        </w:tc>
        <w:tc>
          <w:tcPr>
            <w:tcW w:w="560" w:type="dxa"/>
            <w:vAlign w:val="bottom"/>
            <w:tcBorders>
              <w:bottom w:val="single" w:sz="8" w:color="6022A6"/>
            </w:tcBorders>
          </w:tcPr>
          <w:p>
            <w:pPr>
              <w:spacing w:after="0"/>
              <w:rPr>
                <w:sz w:val="19"/>
                <w:szCs w:val="19"/>
                <w:color w:val="auto"/>
              </w:rPr>
            </w:pPr>
          </w:p>
        </w:tc>
        <w:tc>
          <w:tcPr>
            <w:tcW w:w="96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2023</w:t>
            </w:r>
          </w:p>
        </w:tc>
      </w:tr>
      <w:tr>
        <w:trPr>
          <w:trHeight w:val="233"/>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640" w:type="dxa"/>
            <w:vAlign w:val="bottom"/>
            <w:tcBorders>
              <w:bottom w:val="single" w:sz="8" w:color="E4E4E4"/>
            </w:tcBorders>
            <w:shd w:val="clear" w:color="auto" w:fill="E4E4E4"/>
          </w:tcPr>
          <w:p>
            <w:pPr>
              <w:jc w:val="right"/>
              <w:ind w:right="4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w:t>
            </w:r>
          </w:p>
        </w:tc>
        <w:tc>
          <w:tcPr>
            <w:tcW w:w="1080" w:type="dxa"/>
            <w:vAlign w:val="bottom"/>
            <w:tcBorders>
              <w:bottom w:val="single" w:sz="8" w:color="E4E4E4"/>
            </w:tcBorders>
            <w:shd w:val="clear" w:color="auto" w:fill="E4E4E4"/>
          </w:tcPr>
          <w:p>
            <w:pPr>
              <w:jc w:val="right"/>
              <w:ind w:right="87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98</w:t>
            </w:r>
          </w:p>
        </w:tc>
        <w:tc>
          <w:tcPr>
            <w:tcW w:w="56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w:t>
            </w:r>
          </w:p>
        </w:tc>
      </w:tr>
      <w:tr>
        <w:trPr>
          <w:trHeight w:val="228"/>
        </w:trPr>
        <w:tc>
          <w:tcPr>
            <w:tcW w:w="6660" w:type="dxa"/>
            <w:vAlign w:val="bottom"/>
          </w:tcPr>
          <w:p>
            <w:pPr>
              <w:ind w:left="20"/>
              <w:spacing w:after="0"/>
              <w:rPr>
                <w:sz w:val="20"/>
                <w:szCs w:val="20"/>
                <w:color w:val="auto"/>
              </w:rPr>
            </w:pPr>
            <w:r>
              <w:rPr>
                <w:rFonts w:ascii="Arial" w:cs="Arial" w:eastAsia="Arial" w:hAnsi="Arial"/>
                <w:sz w:val="16"/>
                <w:szCs w:val="16"/>
                <w:color w:val="auto"/>
              </w:rPr>
              <w:t>Additions charged to costs and expenses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10</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20</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6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6"/>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Write-offs</w:t>
            </w:r>
          </w:p>
        </w:tc>
        <w:tc>
          <w:tcPr>
            <w:tcW w:w="64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108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5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28"/>
        </w:trPr>
        <w:tc>
          <w:tcPr>
            <w:tcW w:w="666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6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5"/>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640" w:type="dxa"/>
            <w:vAlign w:val="bottom"/>
            <w:tcBorders>
              <w:bottom w:val="single" w:sz="8" w:color="E4E4E4"/>
            </w:tcBorders>
            <w:shd w:val="clear" w:color="auto" w:fill="E4E4E4"/>
          </w:tcPr>
          <w:p>
            <w:pPr>
              <w:jc w:val="right"/>
              <w:ind w:right="43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E4E4E4"/>
            </w:tcBorders>
            <w:shd w:val="clear" w:color="auto" w:fill="E4E4E4"/>
          </w:tcPr>
          <w:p>
            <w:pPr>
              <w:spacing w:after="0"/>
              <w:rPr>
                <w:sz w:val="21"/>
                <w:szCs w:val="21"/>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w:t>
            </w:r>
          </w:p>
        </w:tc>
        <w:tc>
          <w:tcPr>
            <w:tcW w:w="1080" w:type="dxa"/>
            <w:vAlign w:val="bottom"/>
            <w:tcBorders>
              <w:bottom w:val="single" w:sz="8" w:color="E4E4E4"/>
            </w:tcBorders>
            <w:shd w:val="clear" w:color="auto" w:fill="E4E4E4"/>
          </w:tcPr>
          <w:p>
            <w:pPr>
              <w:jc w:val="right"/>
              <w:ind w:right="879"/>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w:t>
            </w:r>
          </w:p>
        </w:tc>
        <w:tc>
          <w:tcPr>
            <w:tcW w:w="56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98</w:t>
            </w:r>
          </w:p>
        </w:tc>
      </w:tr>
      <w:tr>
        <w:trPr>
          <w:trHeight w:val="580"/>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Long-Term Receivables</w:t>
            </w: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454545"/>
              </w:rPr>
              <w:t>As of</w:t>
            </w:r>
          </w:p>
        </w:tc>
        <w:tc>
          <w:tcPr>
            <w:tcW w:w="5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21"/>
        </w:trPr>
        <w:tc>
          <w:tcPr>
            <w:tcW w:w="6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60" w:type="dxa"/>
            <w:vAlign w:val="bottom"/>
            <w:tcBorders>
              <w:bottom w:val="single" w:sz="8" w:color="454545"/>
            </w:tcBorders>
            <w:gridSpan w:val="3"/>
          </w:tcPr>
          <w:p>
            <w:pPr>
              <w:spacing w:after="0" w:line="20" w:lineRule="exact"/>
              <w:rPr>
                <w:sz w:val="1"/>
                <w:szCs w:val="1"/>
                <w:color w:val="auto"/>
              </w:rPr>
            </w:pPr>
          </w:p>
        </w:tc>
        <w:tc>
          <w:tcPr>
            <w:tcW w:w="1980" w:type="dxa"/>
            <w:vAlign w:val="bottom"/>
            <w:tcBorders>
              <w:bottom w:val="single" w:sz="8" w:color="454545"/>
            </w:tcBorders>
            <w:gridSpan w:val="3"/>
          </w:tcPr>
          <w:p>
            <w:pPr>
              <w:spacing w:after="0" w:line="20" w:lineRule="exact"/>
              <w:rPr>
                <w:sz w:val="1"/>
                <w:szCs w:val="1"/>
                <w:color w:val="auto"/>
              </w:rPr>
            </w:pPr>
          </w:p>
        </w:tc>
      </w:tr>
      <w:tr>
        <w:trPr>
          <w:trHeight w:val="229"/>
        </w:trPr>
        <w:tc>
          <w:tcPr>
            <w:tcW w:w="6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96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c>
          <w:tcPr>
            <w:tcW w:w="198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666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34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960" w:type="dxa"/>
            <w:vAlign w:val="bottom"/>
            <w:tcBorders>
              <w:bottom w:val="single" w:sz="8" w:color="6022A6"/>
            </w:tcBorders>
          </w:tcPr>
          <w:p>
            <w:pPr>
              <w:spacing w:after="0" w:line="20" w:lineRule="exact"/>
              <w:rPr>
                <w:sz w:val="1"/>
                <w:szCs w:val="1"/>
                <w:color w:val="auto"/>
              </w:rPr>
            </w:pPr>
          </w:p>
        </w:tc>
      </w:tr>
      <w:tr>
        <w:trPr>
          <w:trHeight w:val="255"/>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Long-term customer receivables</w:t>
            </w:r>
          </w:p>
        </w:tc>
        <w:tc>
          <w:tcPr>
            <w:tcW w:w="980" w:type="dxa"/>
            <w:vAlign w:val="bottom"/>
            <w:tcBorders>
              <w:bottom w:val="single" w:sz="8" w:color="E4E4E4"/>
            </w:tcBorders>
            <w:gridSpan w:val="2"/>
            <w:shd w:val="clear" w:color="auto" w:fill="E4E4E4"/>
          </w:tcPr>
          <w:p>
            <w:pPr>
              <w:jc w:val="right"/>
              <w:ind w:right="1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73</w:t>
            </w:r>
          </w:p>
        </w:tc>
        <w:tc>
          <w:tcPr>
            <w:tcW w:w="46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E4E4E4"/>
            </w:tcBorders>
            <w:shd w:val="clear" w:color="auto" w:fill="E4E4E4"/>
          </w:tcPr>
          <w:p>
            <w:pPr>
              <w:spacing w:after="0"/>
              <w:rPr>
                <w:sz w:val="21"/>
                <w:szCs w:val="21"/>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59</w:t>
            </w:r>
          </w:p>
        </w:tc>
      </w:tr>
      <w:tr>
        <w:trPr>
          <w:trHeight w:val="221"/>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Non-income based tax receivables</w:t>
            </w:r>
          </w:p>
        </w:tc>
        <w:tc>
          <w:tcPr>
            <w:tcW w:w="6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4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29"/>
        </w:trPr>
        <w:tc>
          <w:tcPr>
            <w:tcW w:w="6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1"/>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sundry receivables</w:t>
            </w:r>
          </w:p>
        </w:tc>
        <w:tc>
          <w:tcPr>
            <w:tcW w:w="64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c>
          <w:tcPr>
            <w:tcW w:w="46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w:t>
            </w:r>
          </w:p>
        </w:tc>
      </w:tr>
      <w:tr>
        <w:trPr>
          <w:trHeight w:val="229"/>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Long-term sundry receivables</w:t>
            </w:r>
          </w:p>
        </w:tc>
        <w:tc>
          <w:tcPr>
            <w:tcW w:w="6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124</w:t>
            </w:r>
          </w:p>
        </w:tc>
        <w:tc>
          <w:tcPr>
            <w:tcW w:w="4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88</w:t>
            </w:r>
          </w:p>
        </w:tc>
      </w:tr>
      <w:tr>
        <w:trPr>
          <w:trHeight w:val="21"/>
        </w:trPr>
        <w:tc>
          <w:tcPr>
            <w:tcW w:w="6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61"/>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640" w:type="dxa"/>
            <w:vAlign w:val="bottom"/>
            <w:tcBorders>
              <w:bottom w:val="single" w:sz="8" w:color="E4E4E4"/>
            </w:tcBorders>
            <w:shd w:val="clear" w:color="auto" w:fill="E4E4E4"/>
          </w:tcPr>
          <w:p>
            <w:pPr>
              <w:spacing w:after="0"/>
              <w:rPr>
                <w:sz w:val="22"/>
                <w:szCs w:val="22"/>
                <w:color w:val="auto"/>
              </w:rPr>
            </w:pPr>
          </w:p>
        </w:tc>
        <w:tc>
          <w:tcPr>
            <w:tcW w:w="34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460" w:type="dxa"/>
            <w:vAlign w:val="bottom"/>
            <w:tcBorders>
              <w:bottom w:val="single" w:sz="8" w:color="E4E4E4"/>
            </w:tcBorders>
            <w:shd w:val="clear" w:color="auto" w:fill="E4E4E4"/>
          </w:tcPr>
          <w:p>
            <w:pPr>
              <w:spacing w:after="0"/>
              <w:rPr>
                <w:sz w:val="22"/>
                <w:szCs w:val="22"/>
                <w:color w:val="auto"/>
              </w:rPr>
            </w:pPr>
          </w:p>
        </w:tc>
        <w:tc>
          <w:tcPr>
            <w:tcW w:w="56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long-term receivables – net</w:t>
            </w:r>
          </w:p>
        </w:tc>
        <w:tc>
          <w:tcPr>
            <w:tcW w:w="980" w:type="dxa"/>
            <w:vAlign w:val="bottom"/>
            <w:tcBorders>
              <w:top w:val="single" w:sz="8" w:color="auto"/>
            </w:tcBorders>
            <w:gridSpan w:val="2"/>
          </w:tcPr>
          <w:p>
            <w:pPr>
              <w:jc w:val="right"/>
              <w:ind w:right="159"/>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c>
          <w:tcPr>
            <w:tcW w:w="46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142</w:t>
            </w:r>
          </w:p>
        </w:tc>
      </w:tr>
      <w:tr>
        <w:trPr>
          <w:trHeight w:val="21"/>
        </w:trPr>
        <w:tc>
          <w:tcPr>
            <w:tcW w:w="6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Long-term receivables are recognized within All other non-current assets in the Consolidated Statements of Financial Position.</w:t>
      </w:r>
    </w:p>
    <w:p>
      <w:pPr>
        <w:sectPr>
          <w:pgSz w:w="11900" w:h="16838" w:orient="portrait"/>
          <w:cols w:equalWidth="0" w:num="1">
            <w:col w:w="11240"/>
          </w:cols>
          <w:pgMar w:left="320" w:top="1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18415"/>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type w:val="continuous"/>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7319010</wp:posOffset>
            </wp:positionH>
            <wp:positionV relativeFrom="page">
              <wp:posOffset>88900</wp:posOffset>
            </wp:positionV>
            <wp:extent cx="3365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1270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88900</wp:posOffset>
            </wp:positionV>
            <wp:extent cx="34290"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FINANCING RECEIVABLES</w:t>
      </w:r>
    </w:p>
    <w:p>
      <w:pPr>
        <w:spacing w:after="0" w:line="257"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Current financing receivables and non-current financing receivables are recognized within All other current assets and All other non-current assets, respectively, in the Consolidated Statements of Financial Position.</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19"/>
                <w:szCs w:val="19"/>
                <w:color w:val="auto"/>
              </w:rPr>
            </w:pPr>
          </w:p>
        </w:tc>
      </w:tr>
      <w:tr>
        <w:trPr>
          <w:trHeight w:val="21"/>
        </w:trPr>
        <w:tc>
          <w:tcPr>
            <w:tcW w:w="730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9"/>
        </w:trPr>
        <w:tc>
          <w:tcPr>
            <w:tcW w:w="7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c>
          <w:tcPr>
            <w:tcW w:w="240" w:type="dxa"/>
            <w:vAlign w:val="bottom"/>
          </w:tcPr>
          <w:p>
            <w:pPr>
              <w:spacing w:after="0"/>
              <w:rPr>
                <w:sz w:val="19"/>
                <w:szCs w:val="19"/>
                <w:color w:val="auto"/>
              </w:rPr>
            </w:pPr>
          </w:p>
        </w:tc>
        <w:tc>
          <w:tcPr>
            <w:tcW w:w="174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30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17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740" w:type="dxa"/>
            <w:vAlign w:val="bottom"/>
            <w:tcBorders>
              <w:bottom w:val="single" w:sz="8" w:color="6022A6"/>
            </w:tcBorders>
          </w:tcPr>
          <w:p>
            <w:pPr>
              <w:spacing w:after="0" w:line="20" w:lineRule="exact"/>
              <w:rPr>
                <w:sz w:val="1"/>
                <w:szCs w:val="1"/>
                <w:color w:val="auto"/>
              </w:rPr>
            </w:pPr>
          </w:p>
        </w:tc>
      </w:tr>
      <w:tr>
        <w:trPr>
          <w:trHeight w:val="230"/>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28"/>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finance leases, net of deferred income</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76</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E4E4E4"/>
            </w:tcBorders>
            <w:shd w:val="clear" w:color="auto" w:fill="E4E4E4"/>
          </w:tcPr>
          <w:p>
            <w:pPr>
              <w:spacing w:after="0"/>
              <w:rPr>
                <w:sz w:val="22"/>
                <w:szCs w:val="22"/>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Current financing receivables –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95</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196"/>
        </w:trPr>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7"/>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Loans receivable, at amortized cost</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r>
      <w:tr>
        <w:trPr>
          <w:trHeight w:val="227"/>
        </w:trPr>
        <w:tc>
          <w:tcPr>
            <w:tcW w:w="7300" w:type="dxa"/>
            <w:vAlign w:val="bottom"/>
          </w:tcPr>
          <w:p>
            <w:pPr>
              <w:ind w:left="20"/>
              <w:spacing w:after="0"/>
              <w:rPr>
                <w:sz w:val="20"/>
                <w:szCs w:val="20"/>
                <w:color w:val="auto"/>
              </w:rPr>
            </w:pPr>
            <w:r>
              <w:rPr>
                <w:rFonts w:ascii="Arial" w:cs="Arial" w:eastAsia="Arial" w:hAnsi="Arial"/>
                <w:sz w:val="16"/>
                <w:szCs w:val="16"/>
                <w:color w:val="auto"/>
              </w:rPr>
              <w:t>Investment in finance leases, net of deferred income</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149</w:t>
            </w:r>
          </w:p>
        </w:tc>
        <w:tc>
          <w:tcPr>
            <w:tcW w:w="24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152</w:t>
            </w:r>
          </w:p>
        </w:tc>
      </w:tr>
      <w:tr>
        <w:trPr>
          <w:trHeight w:val="29"/>
        </w:trPr>
        <w:tc>
          <w:tcPr>
            <w:tcW w:w="7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1"/>
        </w:trPr>
        <w:tc>
          <w:tcPr>
            <w:tcW w:w="73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Allowance for credit losses</w:t>
            </w:r>
          </w:p>
        </w:tc>
        <w:tc>
          <w:tcPr>
            <w:tcW w:w="180" w:type="dxa"/>
            <w:vAlign w:val="bottom"/>
            <w:tcBorders>
              <w:bottom w:val="single" w:sz="8" w:color="E4E4E4"/>
            </w:tcBorders>
            <w:shd w:val="clear" w:color="auto" w:fill="E4E4E4"/>
          </w:tcPr>
          <w:p>
            <w:pPr>
              <w:spacing w:after="0"/>
              <w:rPr>
                <w:sz w:val="22"/>
                <w:szCs w:val="22"/>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73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Non-current financing receivables –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183</w:t>
            </w:r>
          </w:p>
        </w:tc>
      </w:tr>
      <w:tr>
        <w:trPr>
          <w:trHeight w:val="21"/>
        </w:trPr>
        <w:tc>
          <w:tcPr>
            <w:tcW w:w="7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As of December 31, 2025, 1%, 1%, and 1% of financing receivables were over 30 days past due, over 90 days past due, and on nonaccrual, respectively, with the majority of nonaccrual financing receivables secured by collateral. As of December 31, 2024, 4%, 4%, and 3% of financing receivables were over 30 days past due, over 90 days past due, and on nonaccrual, respectively, with the majority of nonaccrual financing receivables secured by collateral.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LEASES.</w:t>
      </w:r>
    </w:p>
    <w:p>
      <w:pPr>
        <w:spacing w:after="0" w:line="248"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As a lessee, the Company leases certain logistics, office, and manufacturing facilities, as well as vehicles and other equipment. Certain of the Company’s leases may include options to extend. Our ROU operating lease assets are recognized within Property, plant, and equipment – net in the Consolidated Statements of Financial Position. Our operating lease liabilities are recognized within All other current liabilities and All other non-current liabilities in the Consolidated Statements of Financial Position, as detailed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Operating Lease Assets and Liabilities</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6"/>
                <w:szCs w:val="16"/>
                <w:b w:val="1"/>
                <w:bCs w:val="1"/>
                <w:color w:val="454545"/>
              </w:rPr>
              <w:t>As of</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
        </w:trPr>
        <w:tc>
          <w:tcPr>
            <w:tcW w:w="3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gridSpan w:val="2"/>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gridSpan w:val="3"/>
          </w:tcPr>
          <w:p>
            <w:pPr>
              <w:spacing w:after="0" w:line="20" w:lineRule="exact"/>
              <w:rPr>
                <w:sz w:val="1"/>
                <w:szCs w:val="1"/>
                <w:color w:val="auto"/>
              </w:rPr>
            </w:pPr>
          </w:p>
        </w:tc>
      </w:tr>
      <w:tr>
        <w:trPr>
          <w:trHeight w:val="229"/>
        </w:trPr>
        <w:tc>
          <w:tcPr>
            <w:tcW w:w="3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gridSpan w:val="2"/>
          </w:tcPr>
          <w:p>
            <w:pPr>
              <w:jc w:val="center"/>
              <w:ind w:right="119"/>
              <w:spacing w:after="0"/>
              <w:rPr>
                <w:sz w:val="20"/>
                <w:szCs w:val="20"/>
                <w:color w:val="auto"/>
              </w:rPr>
            </w:pPr>
            <w:r>
              <w:rPr>
                <w:rFonts w:ascii="Arial" w:cs="Arial" w:eastAsia="Arial" w:hAnsi="Arial"/>
                <w:sz w:val="16"/>
                <w:szCs w:val="16"/>
                <w:b w:val="1"/>
                <w:bCs w:val="1"/>
                <w:color w:val="454545"/>
              </w:rPr>
              <w:t>December 31, 2025</w:t>
            </w:r>
          </w:p>
        </w:tc>
        <w:tc>
          <w:tcPr>
            <w:tcW w:w="240" w:type="dxa"/>
            <w:vAlign w:val="bottom"/>
          </w:tcPr>
          <w:p>
            <w:pPr>
              <w:spacing w:after="0"/>
              <w:rPr>
                <w:sz w:val="19"/>
                <w:szCs w:val="19"/>
                <w:color w:val="auto"/>
              </w:rPr>
            </w:pPr>
          </w:p>
        </w:tc>
        <w:tc>
          <w:tcPr>
            <w:tcW w:w="172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398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gridSpan w:val="2"/>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6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r>
      <w:tr>
        <w:trPr>
          <w:trHeight w:val="255"/>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Operating lease ROU assets</w:t>
            </w:r>
          </w:p>
        </w:tc>
        <w:tc>
          <w:tcPr>
            <w:tcW w:w="800" w:type="dxa"/>
            <w:vAlign w:val="bottom"/>
            <w:tcBorders>
              <w:bottom w:val="single" w:sz="8" w:color="E4E4E4"/>
            </w:tcBorders>
            <w:shd w:val="clear" w:color="auto" w:fill="E4E4E4"/>
          </w:tcPr>
          <w:p>
            <w:pPr>
              <w:spacing w:after="0"/>
              <w:rPr>
                <w:sz w:val="21"/>
                <w:szCs w:val="21"/>
                <w:color w:val="auto"/>
              </w:rPr>
            </w:pPr>
          </w:p>
        </w:tc>
        <w:tc>
          <w:tcPr>
            <w:tcW w:w="600" w:type="dxa"/>
            <w:vAlign w:val="bottom"/>
            <w:tcBorders>
              <w:bottom w:val="single" w:sz="8" w:color="E4E4E4"/>
            </w:tcBorders>
            <w:shd w:val="clear" w:color="auto" w:fill="E4E4E4"/>
          </w:tcPr>
          <w:p>
            <w:pPr>
              <w:spacing w:after="0"/>
              <w:rPr>
                <w:sz w:val="21"/>
                <w:szCs w:val="21"/>
                <w:color w:val="auto"/>
              </w:rPr>
            </w:pPr>
          </w:p>
        </w:tc>
        <w:tc>
          <w:tcPr>
            <w:tcW w:w="14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spacing w:after="0"/>
              <w:rPr>
                <w:sz w:val="21"/>
                <w:szCs w:val="21"/>
                <w:color w:val="auto"/>
              </w:rPr>
            </w:pPr>
          </w:p>
        </w:tc>
        <w:tc>
          <w:tcPr>
            <w:tcW w:w="72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spacing w:after="0"/>
              <w:rPr>
                <w:sz w:val="21"/>
                <w:szCs w:val="21"/>
                <w:color w:val="auto"/>
              </w:rPr>
            </w:pPr>
          </w:p>
        </w:tc>
        <w:tc>
          <w:tcPr>
            <w:tcW w:w="880" w:type="dxa"/>
            <w:vAlign w:val="bottom"/>
            <w:tcBorders>
              <w:bottom w:val="single" w:sz="8" w:color="E4E4E4"/>
            </w:tcBorders>
            <w:gridSpan w:val="3"/>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E4E4E4"/>
            </w:tcBorders>
            <w:shd w:val="clear" w:color="auto" w:fill="E4E4E4"/>
          </w:tcPr>
          <w:p>
            <w:pPr>
              <w:spacing w:after="0"/>
              <w:rPr>
                <w:sz w:val="21"/>
                <w:szCs w:val="21"/>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410</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364</w:t>
            </w:r>
          </w:p>
        </w:tc>
      </w:tr>
      <w:tr>
        <w:trPr>
          <w:trHeight w:val="221"/>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Current operating lease liabilities</w:t>
            </w: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w:t>
            </w:r>
          </w:p>
        </w:tc>
      </w:tr>
      <w:tr>
        <w:trPr>
          <w:trHeight w:val="29"/>
        </w:trPr>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1"/>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Non-current operating lease liabilities</w:t>
            </w:r>
          </w:p>
        </w:tc>
        <w:tc>
          <w:tcPr>
            <w:tcW w:w="80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spacing w:after="0"/>
              <w:rPr>
                <w:sz w:val="22"/>
                <w:szCs w:val="22"/>
                <w:color w:val="auto"/>
              </w:rPr>
            </w:pPr>
          </w:p>
        </w:tc>
        <w:tc>
          <w:tcPr>
            <w:tcW w:w="4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284</w:t>
            </w:r>
          </w:p>
        </w:tc>
        <w:tc>
          <w:tcPr>
            <w:tcW w:w="24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270</w:t>
            </w:r>
          </w:p>
        </w:tc>
      </w:tr>
      <w:tr>
        <w:trPr>
          <w:trHeight w:val="229"/>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lease liabilities</w:t>
            </w:r>
          </w:p>
        </w:tc>
        <w:tc>
          <w:tcPr>
            <w:tcW w:w="8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419</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385</w:t>
            </w: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gridSpan w:val="6"/>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80"/>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Operating Lease Expense</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gridSpan w:val="7"/>
          </w:tcPr>
          <w:p>
            <w:pPr>
              <w:jc w:val="center"/>
              <w:ind w:right="219"/>
              <w:spacing w:after="0"/>
              <w:rPr>
                <w:sz w:val="20"/>
                <w:szCs w:val="20"/>
                <w:color w:val="auto"/>
              </w:rPr>
            </w:pPr>
            <w:r>
              <w:rPr>
                <w:rFonts w:ascii="Arial" w:cs="Arial" w:eastAsia="Arial" w:hAnsi="Arial"/>
                <w:sz w:val="16"/>
                <w:szCs w:val="16"/>
                <w:b w:val="1"/>
                <w:bCs w:val="1"/>
                <w:color w:val="454545"/>
              </w:rPr>
              <w:t>For the years ended December 31</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
        </w:trPr>
        <w:tc>
          <w:tcPr>
            <w:tcW w:w="3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gridSpan w:val="2"/>
          </w:tcPr>
          <w:p>
            <w:pPr>
              <w:spacing w:after="0" w:line="20" w:lineRule="exact"/>
              <w:rPr>
                <w:sz w:val="1"/>
                <w:szCs w:val="1"/>
                <w:color w:val="auto"/>
              </w:rPr>
            </w:pPr>
          </w:p>
        </w:tc>
        <w:tc>
          <w:tcPr>
            <w:tcW w:w="660" w:type="dxa"/>
            <w:vAlign w:val="bottom"/>
            <w:tcBorders>
              <w:bottom w:val="single" w:sz="8" w:color="454545"/>
            </w:tcBorders>
          </w:tcPr>
          <w:p>
            <w:pPr>
              <w:spacing w:after="0" w:line="20" w:lineRule="exact"/>
              <w:rPr>
                <w:sz w:val="1"/>
                <w:szCs w:val="1"/>
                <w:color w:val="auto"/>
              </w:rPr>
            </w:pPr>
          </w:p>
        </w:tc>
        <w:tc>
          <w:tcPr>
            <w:tcW w:w="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gridSpan w:val="2"/>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r>
      <w:tr>
        <w:trPr>
          <w:trHeight w:val="229"/>
        </w:trPr>
        <w:tc>
          <w:tcPr>
            <w:tcW w:w="39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9"/>
              <w:spacing w:after="0"/>
              <w:rPr>
                <w:sz w:val="20"/>
                <w:szCs w:val="20"/>
                <w:color w:val="auto"/>
              </w:rPr>
            </w:pPr>
            <w:r>
              <w:rPr>
                <w:rFonts w:ascii="Arial" w:cs="Arial" w:eastAsia="Arial" w:hAnsi="Arial"/>
                <w:sz w:val="16"/>
                <w:szCs w:val="16"/>
                <w:b w:val="1"/>
                <w:bCs w:val="1"/>
                <w:color w:val="454545"/>
              </w:rPr>
              <w:t>2025</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2023</w:t>
            </w:r>
          </w:p>
        </w:tc>
        <w:tc>
          <w:tcPr>
            <w:tcW w:w="720" w:type="dxa"/>
            <w:vAlign w:val="bottom"/>
          </w:tcPr>
          <w:p>
            <w:pPr>
              <w:spacing w:after="0"/>
              <w:rPr>
                <w:sz w:val="19"/>
                <w:szCs w:val="19"/>
                <w:color w:val="auto"/>
              </w:rPr>
            </w:pPr>
          </w:p>
        </w:tc>
      </w:tr>
      <w:tr>
        <w:trPr>
          <w:trHeight w:val="21"/>
        </w:trPr>
        <w:tc>
          <w:tcPr>
            <w:tcW w:w="398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6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c>
          <w:tcPr>
            <w:tcW w:w="4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6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r>
      <w:tr>
        <w:trPr>
          <w:trHeight w:val="230"/>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(fixed)</w:t>
            </w:r>
          </w:p>
        </w:tc>
        <w:tc>
          <w:tcPr>
            <w:tcW w:w="80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gridSpan w:val="2"/>
            <w:shd w:val="clear" w:color="auto" w:fill="E4E4E4"/>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w:t>
            </w:r>
          </w:p>
        </w:tc>
        <w:tc>
          <w:tcPr>
            <w:tcW w:w="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w:t>
            </w:r>
          </w:p>
        </w:tc>
      </w:tr>
      <w:tr>
        <w:trPr>
          <w:trHeight w:val="228"/>
        </w:trPr>
        <w:tc>
          <w:tcPr>
            <w:tcW w:w="3980" w:type="dxa"/>
            <w:vAlign w:val="bottom"/>
          </w:tcPr>
          <w:p>
            <w:pPr>
              <w:ind w:left="20"/>
              <w:spacing w:after="0"/>
              <w:rPr>
                <w:sz w:val="20"/>
                <w:szCs w:val="20"/>
                <w:color w:val="auto"/>
              </w:rPr>
            </w:pPr>
            <w:r>
              <w:rPr>
                <w:rFonts w:ascii="Arial" w:cs="Arial" w:eastAsia="Arial" w:hAnsi="Arial"/>
                <w:sz w:val="16"/>
                <w:szCs w:val="16"/>
                <w:color w:val="auto"/>
              </w:rPr>
              <w:t>Long-term (variable)</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9"/>
        </w:trPr>
        <w:tc>
          <w:tcPr>
            <w:tcW w:w="3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62"/>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Short-term</w:t>
            </w:r>
          </w:p>
        </w:tc>
        <w:tc>
          <w:tcPr>
            <w:tcW w:w="80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20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6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4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40" w:type="dxa"/>
            <w:vAlign w:val="bottom"/>
            <w:tcBorders>
              <w:bottom w:val="single" w:sz="8" w:color="E4E4E4"/>
            </w:tcBorders>
            <w:shd w:val="clear" w:color="auto" w:fill="E4E4E4"/>
          </w:tcPr>
          <w:p>
            <w:pPr>
              <w:spacing w:after="0"/>
              <w:rPr>
                <w:sz w:val="22"/>
                <w:szCs w:val="22"/>
                <w:color w:val="auto"/>
              </w:rPr>
            </w:pPr>
          </w:p>
        </w:tc>
        <w:tc>
          <w:tcPr>
            <w:tcW w:w="74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r>
      <w:tr>
        <w:trPr>
          <w:trHeight w:val="229"/>
        </w:trPr>
        <w:tc>
          <w:tcPr>
            <w:tcW w:w="3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operating lease expense</w:t>
            </w:r>
          </w:p>
        </w:tc>
        <w:tc>
          <w:tcPr>
            <w:tcW w:w="8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249</w:t>
            </w: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258</w:t>
            </w:r>
          </w:p>
        </w:tc>
        <w:tc>
          <w:tcPr>
            <w:tcW w:w="2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229</w:t>
            </w:r>
          </w:p>
        </w:tc>
      </w:tr>
      <w:tr>
        <w:trPr>
          <w:trHeight w:val="21"/>
        </w:trPr>
        <w:tc>
          <w:tcPr>
            <w:tcW w:w="39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593"/>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Maturity of Lease Liabilities</w:t>
            </w: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6"/>
        </w:trPr>
        <w:tc>
          <w:tcPr>
            <w:tcW w:w="39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2026</w:t>
            </w: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2027</w:t>
            </w:r>
          </w:p>
        </w:tc>
        <w:tc>
          <w:tcPr>
            <w:tcW w:w="220" w:type="dxa"/>
            <w:vAlign w:val="bottom"/>
          </w:tcPr>
          <w:p>
            <w:pPr>
              <w:spacing w:after="0"/>
              <w:rPr>
                <w:sz w:val="22"/>
                <w:szCs w:val="22"/>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b w:val="1"/>
                <w:bCs w:val="1"/>
                <w:color w:val="454545"/>
              </w:rPr>
              <w:t>2028</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59"/>
              <w:spacing w:after="0"/>
              <w:rPr>
                <w:sz w:val="20"/>
                <w:szCs w:val="20"/>
                <w:color w:val="auto"/>
              </w:rPr>
            </w:pPr>
            <w:r>
              <w:rPr>
                <w:rFonts w:ascii="Arial" w:cs="Arial" w:eastAsia="Arial" w:hAnsi="Arial"/>
                <w:sz w:val="16"/>
                <w:szCs w:val="16"/>
                <w:b w:val="1"/>
                <w:bCs w:val="1"/>
                <w:color w:val="454545"/>
              </w:rPr>
              <w:t>2029</w:t>
            </w: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2030</w:t>
            </w: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Thereafter</w:t>
            </w:r>
          </w:p>
        </w:tc>
        <w:tc>
          <w:tcPr>
            <w:tcW w:w="260" w:type="dxa"/>
            <w:vAlign w:val="bottom"/>
          </w:tcPr>
          <w:p>
            <w:pPr>
              <w:spacing w:after="0"/>
              <w:rPr>
                <w:sz w:val="22"/>
                <w:szCs w:val="22"/>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98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gridSpan w:val="2"/>
          </w:tcPr>
          <w:p>
            <w:pPr>
              <w:spacing w:after="0" w:line="20" w:lineRule="exact"/>
              <w:rPr>
                <w:sz w:val="1"/>
                <w:szCs w:val="1"/>
                <w:color w:val="auto"/>
              </w:rPr>
            </w:pPr>
          </w:p>
        </w:tc>
        <w:tc>
          <w:tcPr>
            <w:tcW w:w="20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gridSpan w:val="2"/>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68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r>
      <w:tr>
        <w:trPr>
          <w:trHeight w:val="230"/>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Undiscounted lease payments</w:t>
            </w:r>
          </w:p>
        </w:tc>
        <w:tc>
          <w:tcPr>
            <w:tcW w:w="8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gridSpan w:val="2"/>
            <w:shd w:val="clear" w:color="auto" w:fill="E4E4E4"/>
          </w:tcPr>
          <w:p>
            <w:pPr>
              <w:jc w:val="right"/>
              <w:ind w:right="80"/>
              <w:spacing w:after="0"/>
              <w:rPr>
                <w:sz w:val="20"/>
                <w:szCs w:val="20"/>
                <w:color w:val="auto"/>
              </w:rPr>
            </w:pPr>
            <w:r>
              <w:rPr>
                <w:rFonts w:ascii="Arial" w:cs="Arial" w:eastAsia="Arial" w:hAnsi="Arial"/>
                <w:sz w:val="16"/>
                <w:szCs w:val="16"/>
                <w:color w:val="auto"/>
              </w:rPr>
              <w:t>153</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116</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73</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E4E4E4"/>
            </w:tcBorders>
            <w:shd w:val="clear" w:color="auto" w:fill="E4E4E4"/>
          </w:tcPr>
          <w:p>
            <w:pPr>
              <w:jc w:val="center"/>
              <w:ind w:left="379"/>
              <w:spacing w:after="0"/>
              <w:rPr>
                <w:sz w:val="20"/>
                <w:szCs w:val="20"/>
                <w:color w:val="auto"/>
              </w:rPr>
            </w:pPr>
            <w:r>
              <w:rPr>
                <w:rFonts w:ascii="Arial" w:cs="Arial" w:eastAsia="Arial" w:hAnsi="Arial"/>
                <w:sz w:val="16"/>
                <w:szCs w:val="16"/>
                <w:color w:val="auto"/>
              </w:rPr>
              <w:t>42 $</w:t>
            </w:r>
          </w:p>
        </w:tc>
        <w:tc>
          <w:tcPr>
            <w:tcW w:w="680" w:type="dxa"/>
            <w:vAlign w:val="bottom"/>
            <w:tcBorders>
              <w:bottom w:val="single" w:sz="8" w:color="E4E4E4"/>
            </w:tcBorders>
            <w:shd w:val="clear" w:color="auto" w:fill="E4E4E4"/>
          </w:tcPr>
          <w:p>
            <w:pPr>
              <w:ind w:left="480"/>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460</w:t>
            </w:r>
          </w:p>
        </w:tc>
      </w:tr>
      <w:tr>
        <w:trPr>
          <w:trHeight w:val="228"/>
        </w:trPr>
        <w:tc>
          <w:tcPr>
            <w:tcW w:w="3980" w:type="dxa"/>
            <w:vAlign w:val="bottom"/>
          </w:tcPr>
          <w:p>
            <w:pPr>
              <w:ind w:left="20"/>
              <w:spacing w:after="0"/>
              <w:rPr>
                <w:sz w:val="20"/>
                <w:szCs w:val="20"/>
                <w:color w:val="auto"/>
              </w:rPr>
            </w:pPr>
            <w:r>
              <w:rPr>
                <w:rFonts w:ascii="Arial" w:cs="Arial" w:eastAsia="Arial" w:hAnsi="Arial"/>
                <w:sz w:val="16"/>
                <w:szCs w:val="16"/>
                <w:color w:val="auto"/>
              </w:rPr>
              <w:t>Less: imputed interest</w:t>
            </w: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9"/>
        </w:trPr>
        <w:tc>
          <w:tcPr>
            <w:tcW w:w="39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0"/>
        </w:trPr>
        <w:tc>
          <w:tcPr>
            <w:tcW w:w="3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lease liability as of December 31, 2025</w:t>
            </w:r>
          </w:p>
        </w:tc>
        <w:tc>
          <w:tcPr>
            <w:tcW w:w="80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spacing w:after="0"/>
              <w:rPr>
                <w:sz w:val="20"/>
                <w:szCs w:val="20"/>
                <w:color w:val="auto"/>
              </w:rPr>
            </w:pPr>
          </w:p>
        </w:tc>
        <w:tc>
          <w:tcPr>
            <w:tcW w:w="4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419</w:t>
            </w:r>
          </w:p>
        </w:tc>
      </w:tr>
      <w:tr>
        <w:trPr>
          <w:trHeight w:val="20"/>
        </w:trPr>
        <w:tc>
          <w:tcPr>
            <w:tcW w:w="39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00" w:type="dxa"/>
            <w:vAlign w:val="bottom"/>
          </w:tcPr>
          <w:p>
            <w:pPr>
              <w:ind w:left="20"/>
              <w:spacing w:after="0"/>
              <w:rPr>
                <w:sz w:val="20"/>
                <w:szCs w:val="20"/>
                <w:color w:val="auto"/>
              </w:rPr>
            </w:pPr>
            <w:r>
              <w:rPr>
                <w:rFonts w:ascii="Arial" w:cs="Arial" w:eastAsia="Arial" w:hAnsi="Arial"/>
                <w:sz w:val="16"/>
                <w:szCs w:val="16"/>
                <w:b w:val="1"/>
                <w:bCs w:val="1"/>
                <w:color w:val="auto"/>
              </w:rPr>
              <w:t>Supplemental Information Related to Operating Leases</w:t>
            </w:r>
          </w:p>
        </w:tc>
        <w:tc>
          <w:tcPr>
            <w:tcW w:w="1260" w:type="dxa"/>
            <w:vAlign w:val="bottom"/>
          </w:tcPr>
          <w:p>
            <w:pPr>
              <w:spacing w:after="0"/>
              <w:rPr>
                <w:sz w:val="19"/>
                <w:szCs w:val="19"/>
                <w:color w:val="auto"/>
              </w:rPr>
            </w:pPr>
          </w:p>
        </w:tc>
        <w:tc>
          <w:tcPr>
            <w:tcW w:w="2980" w:type="dxa"/>
            <w:vAlign w:val="bottom"/>
            <w:gridSpan w:val="4"/>
          </w:tcPr>
          <w:p>
            <w:pPr>
              <w:jc w:val="right"/>
              <w:ind w:right="99"/>
              <w:spacing w:after="0"/>
              <w:rPr>
                <w:sz w:val="20"/>
                <w:szCs w:val="20"/>
                <w:color w:val="auto"/>
              </w:rPr>
            </w:pPr>
            <w:r>
              <w:rPr>
                <w:rFonts w:ascii="Arial" w:cs="Arial" w:eastAsia="Arial" w:hAnsi="Arial"/>
                <w:sz w:val="16"/>
                <w:szCs w:val="16"/>
                <w:b w:val="1"/>
                <w:bCs w:val="1"/>
                <w:color w:val="454545"/>
              </w:rPr>
              <w:t>For the years ended December 31</w:t>
            </w:r>
          </w:p>
        </w:tc>
        <w:tc>
          <w:tcPr>
            <w:tcW w:w="1300" w:type="dxa"/>
            <w:vAlign w:val="bottom"/>
          </w:tcPr>
          <w:p>
            <w:pPr>
              <w:spacing w:after="0"/>
              <w:rPr>
                <w:sz w:val="19"/>
                <w:szCs w:val="19"/>
                <w:color w:val="auto"/>
              </w:rPr>
            </w:pPr>
          </w:p>
        </w:tc>
      </w:tr>
      <w:tr>
        <w:trPr>
          <w:trHeight w:val="21"/>
        </w:trPr>
        <w:tc>
          <w:tcPr>
            <w:tcW w:w="5700" w:type="dxa"/>
            <w:vAlign w:val="bottom"/>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44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300" w:type="dxa"/>
            <w:vAlign w:val="bottom"/>
            <w:tcBorders>
              <w:bottom w:val="single" w:sz="8" w:color="454545"/>
            </w:tcBorders>
          </w:tcPr>
          <w:p>
            <w:pPr>
              <w:spacing w:after="0" w:line="20" w:lineRule="exact"/>
              <w:rPr>
                <w:sz w:val="1"/>
                <w:szCs w:val="1"/>
                <w:color w:val="auto"/>
              </w:rPr>
            </w:pPr>
          </w:p>
        </w:tc>
      </w:tr>
      <w:tr>
        <w:trPr>
          <w:trHeight w:val="229"/>
        </w:trPr>
        <w:tc>
          <w:tcPr>
            <w:tcW w:w="5700" w:type="dxa"/>
            <w:vAlign w:val="bottom"/>
          </w:tcPr>
          <w:p>
            <w:pPr>
              <w:spacing w:after="0"/>
              <w:rPr>
                <w:sz w:val="19"/>
                <w:szCs w:val="19"/>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2025</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ind w:right="679"/>
              <w:spacing w:after="0"/>
              <w:rPr>
                <w:sz w:val="20"/>
                <w:szCs w:val="20"/>
                <w:color w:val="auto"/>
              </w:rPr>
            </w:pPr>
            <w:r>
              <w:rPr>
                <w:rFonts w:ascii="Arial" w:cs="Arial" w:eastAsia="Arial" w:hAnsi="Arial"/>
                <w:sz w:val="16"/>
                <w:szCs w:val="16"/>
                <w:b w:val="1"/>
                <w:bCs w:val="1"/>
                <w:color w:val="454545"/>
              </w:rPr>
              <w:t>2024</w:t>
            </w:r>
          </w:p>
        </w:tc>
        <w:tc>
          <w:tcPr>
            <w:tcW w:w="540" w:type="dxa"/>
            <w:vAlign w:val="bottom"/>
          </w:tcPr>
          <w:p>
            <w:pPr>
              <w:spacing w:after="0"/>
              <w:rPr>
                <w:sz w:val="19"/>
                <w:szCs w:val="19"/>
                <w:color w:val="auto"/>
              </w:rPr>
            </w:pPr>
          </w:p>
        </w:tc>
        <w:tc>
          <w:tcPr>
            <w:tcW w:w="1300" w:type="dxa"/>
            <w:vAlign w:val="bottom"/>
          </w:tcPr>
          <w:p>
            <w:pPr>
              <w:jc w:val="right"/>
              <w:ind w:right="659"/>
              <w:spacing w:after="0"/>
              <w:rPr>
                <w:sz w:val="20"/>
                <w:szCs w:val="20"/>
                <w:color w:val="auto"/>
              </w:rPr>
            </w:pPr>
            <w:r>
              <w:rPr>
                <w:rFonts w:ascii="Arial" w:cs="Arial" w:eastAsia="Arial" w:hAnsi="Arial"/>
                <w:sz w:val="16"/>
                <w:szCs w:val="16"/>
                <w:b w:val="1"/>
                <w:bCs w:val="1"/>
                <w:color w:val="454545"/>
              </w:rPr>
              <w:t>2023</w:t>
            </w:r>
          </w:p>
        </w:tc>
      </w:tr>
      <w:tr>
        <w:trPr>
          <w:trHeight w:val="21"/>
        </w:trPr>
        <w:tc>
          <w:tcPr>
            <w:tcW w:w="5700" w:type="dxa"/>
            <w:vAlign w:val="bottom"/>
            <w:tcBorders>
              <w:bottom w:val="single" w:sz="8" w:color="6400A0"/>
            </w:tcBorders>
          </w:tcPr>
          <w:p>
            <w:pPr>
              <w:spacing w:after="0" w:line="20" w:lineRule="exact"/>
              <w:rPr>
                <w:sz w:val="1"/>
                <w:szCs w:val="1"/>
                <w:color w:val="auto"/>
              </w:rPr>
            </w:pPr>
          </w:p>
        </w:tc>
        <w:tc>
          <w:tcPr>
            <w:tcW w:w="126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420" w:type="dxa"/>
            <w:vAlign w:val="bottom"/>
            <w:tcBorders>
              <w:bottom w:val="single" w:sz="8" w:color="6400A0"/>
            </w:tcBorders>
          </w:tcPr>
          <w:p>
            <w:pPr>
              <w:spacing w:after="0" w:line="20" w:lineRule="exact"/>
              <w:rPr>
                <w:sz w:val="1"/>
                <w:szCs w:val="1"/>
                <w:color w:val="auto"/>
              </w:rPr>
            </w:pPr>
          </w:p>
        </w:tc>
        <w:tc>
          <w:tcPr>
            <w:tcW w:w="144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1300" w:type="dxa"/>
            <w:vAlign w:val="bottom"/>
            <w:tcBorders>
              <w:bottom w:val="single" w:sz="8" w:color="6400A0"/>
            </w:tcBorders>
          </w:tcPr>
          <w:p>
            <w:pPr>
              <w:spacing w:after="0" w:line="20" w:lineRule="exact"/>
              <w:rPr>
                <w:sz w:val="1"/>
                <w:szCs w:val="1"/>
                <w:color w:val="auto"/>
              </w:rPr>
            </w:pPr>
          </w:p>
        </w:tc>
      </w:tr>
      <w:tr>
        <w:trPr>
          <w:trHeight w:val="209"/>
        </w:trPr>
        <w:tc>
          <w:tcPr>
            <w:tcW w:w="5700" w:type="dxa"/>
            <w:vAlign w:val="bottom"/>
            <w:shd w:val="clear" w:color="auto" w:fill="E4E4E4"/>
          </w:tcPr>
          <w:p>
            <w:pPr>
              <w:ind w:left="20"/>
              <w:spacing w:after="0"/>
              <w:rPr>
                <w:sz w:val="20"/>
                <w:szCs w:val="20"/>
                <w:color w:val="auto"/>
              </w:rPr>
            </w:pPr>
            <w:r>
              <w:rPr>
                <w:rFonts w:ascii="Arial" w:cs="Arial" w:eastAsia="Arial" w:hAnsi="Arial"/>
                <w:sz w:val="16"/>
                <w:szCs w:val="16"/>
                <w:color w:val="auto"/>
              </w:rPr>
              <w:t>Cash paid for amounts included in the measurement of operating lease</w:t>
            </w:r>
          </w:p>
        </w:tc>
        <w:tc>
          <w:tcPr>
            <w:tcW w:w="1260" w:type="dxa"/>
            <w:vAlign w:val="bottom"/>
            <w:shd w:val="clear" w:color="auto" w:fill="E4E4E4"/>
          </w:tcPr>
          <w:p>
            <w:pPr>
              <w:spacing w:after="0"/>
              <w:rPr>
                <w:sz w:val="18"/>
                <w:szCs w:val="18"/>
                <w:color w:val="auto"/>
              </w:rPr>
            </w:pPr>
          </w:p>
        </w:tc>
        <w:tc>
          <w:tcPr>
            <w:tcW w:w="580" w:type="dxa"/>
            <w:vAlign w:val="bottom"/>
            <w:shd w:val="clear" w:color="auto" w:fill="E4E4E4"/>
          </w:tcPr>
          <w:p>
            <w:pPr>
              <w:spacing w:after="0"/>
              <w:rPr>
                <w:sz w:val="18"/>
                <w:szCs w:val="18"/>
                <w:color w:val="auto"/>
              </w:rPr>
            </w:pPr>
          </w:p>
        </w:tc>
        <w:tc>
          <w:tcPr>
            <w:tcW w:w="420" w:type="dxa"/>
            <w:vAlign w:val="bottom"/>
            <w:shd w:val="clear" w:color="auto" w:fill="E4E4E4"/>
          </w:tcPr>
          <w:p>
            <w:pPr>
              <w:spacing w:after="0"/>
              <w:rPr>
                <w:sz w:val="18"/>
                <w:szCs w:val="18"/>
                <w:color w:val="auto"/>
              </w:rPr>
            </w:pPr>
          </w:p>
        </w:tc>
        <w:tc>
          <w:tcPr>
            <w:tcW w:w="1440" w:type="dxa"/>
            <w:vAlign w:val="bottom"/>
            <w:shd w:val="clear" w:color="auto" w:fill="E4E4E4"/>
          </w:tcPr>
          <w:p>
            <w:pPr>
              <w:spacing w:after="0"/>
              <w:rPr>
                <w:sz w:val="18"/>
                <w:szCs w:val="18"/>
                <w:color w:val="auto"/>
              </w:rPr>
            </w:pPr>
          </w:p>
        </w:tc>
        <w:tc>
          <w:tcPr>
            <w:tcW w:w="540" w:type="dxa"/>
            <w:vAlign w:val="bottom"/>
            <w:shd w:val="clear" w:color="auto" w:fill="E4E4E4"/>
          </w:tcPr>
          <w:p>
            <w:pPr>
              <w:spacing w:after="0"/>
              <w:rPr>
                <w:sz w:val="18"/>
                <w:szCs w:val="18"/>
                <w:color w:val="auto"/>
              </w:rPr>
            </w:pPr>
          </w:p>
        </w:tc>
        <w:tc>
          <w:tcPr>
            <w:tcW w:w="1300" w:type="dxa"/>
            <w:vAlign w:val="bottom"/>
            <w:shd w:val="clear" w:color="auto" w:fill="E4E4E4"/>
          </w:tcPr>
          <w:p>
            <w:pPr>
              <w:spacing w:after="0"/>
              <w:rPr>
                <w:sz w:val="18"/>
                <w:szCs w:val="18"/>
                <w:color w:val="auto"/>
              </w:rPr>
            </w:pPr>
          </w:p>
        </w:tc>
      </w:tr>
      <w:tr>
        <w:trPr>
          <w:trHeight w:val="224"/>
        </w:trPr>
        <w:tc>
          <w:tcPr>
            <w:tcW w:w="5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liabilities</w:t>
            </w:r>
          </w:p>
        </w:tc>
        <w:tc>
          <w:tcPr>
            <w:tcW w:w="1260" w:type="dxa"/>
            <w:vAlign w:val="bottom"/>
            <w:tcBorders>
              <w:bottom w:val="single" w:sz="8" w:color="E4E4E4"/>
            </w:tcBorders>
            <w:shd w:val="clear" w:color="auto" w:fill="E4E4E4"/>
          </w:tcPr>
          <w:p>
            <w:pPr>
              <w:jc w:val="right"/>
              <w:ind w:right="10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151</w:t>
            </w:r>
          </w:p>
        </w:tc>
        <w:tc>
          <w:tcPr>
            <w:tcW w:w="42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138</w:t>
            </w:r>
          </w:p>
        </w:tc>
        <w:tc>
          <w:tcPr>
            <w:tcW w:w="54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130</w:t>
            </w:r>
          </w:p>
        </w:tc>
      </w:tr>
      <w:tr>
        <w:trPr>
          <w:trHeight w:val="227"/>
        </w:trPr>
        <w:tc>
          <w:tcPr>
            <w:tcW w:w="57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new lease liabilities</w:t>
            </w:r>
          </w:p>
        </w:tc>
        <w:tc>
          <w:tcPr>
            <w:tcW w:w="1260" w:type="dxa"/>
            <w:vAlign w:val="bottom"/>
          </w:tcPr>
          <w:p>
            <w:pPr>
              <w:spacing w:after="0"/>
              <w:rPr>
                <w:sz w:val="19"/>
                <w:szCs w:val="19"/>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162</w:t>
            </w:r>
          </w:p>
        </w:tc>
        <w:tc>
          <w:tcPr>
            <w:tcW w:w="420" w:type="dxa"/>
            <w:vAlign w:val="bottom"/>
          </w:tcPr>
          <w:p>
            <w:pPr>
              <w:spacing w:after="0"/>
              <w:rPr>
                <w:sz w:val="19"/>
                <w:szCs w:val="19"/>
                <w:color w:val="auto"/>
              </w:rPr>
            </w:pP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147</w:t>
            </w:r>
          </w:p>
        </w:tc>
        <w:tc>
          <w:tcPr>
            <w:tcW w:w="54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154</w:t>
            </w:r>
          </w:p>
        </w:tc>
      </w:tr>
      <w:tr>
        <w:trPr>
          <w:trHeight w:val="29"/>
        </w:trPr>
        <w:tc>
          <w:tcPr>
            <w:tcW w:w="5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5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126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4.6</w:t>
            </w:r>
          </w:p>
        </w:tc>
        <w:tc>
          <w:tcPr>
            <w:tcW w:w="420" w:type="dxa"/>
            <w:vAlign w:val="bottom"/>
            <w:tcBorders>
              <w:bottom w:val="single" w:sz="8" w:color="E4E4E4"/>
            </w:tcBorders>
            <w:shd w:val="clear" w:color="auto" w:fill="E4E4E4"/>
          </w:tcPr>
          <w:p>
            <w:pPr>
              <w:spacing w:after="0"/>
              <w:rPr>
                <w:sz w:val="20"/>
                <w:szCs w:val="20"/>
                <w:color w:val="auto"/>
              </w:rPr>
            </w:pPr>
          </w:p>
        </w:tc>
        <w:tc>
          <w:tcPr>
            <w:tcW w:w="14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4.4</w:t>
            </w:r>
          </w:p>
        </w:tc>
        <w:tc>
          <w:tcPr>
            <w:tcW w:w="540" w:type="dxa"/>
            <w:vAlign w:val="bottom"/>
            <w:tcBorders>
              <w:bottom w:val="single" w:sz="8" w:color="E4E4E4"/>
            </w:tcBorders>
            <w:shd w:val="clear" w:color="auto" w:fill="E4E4E4"/>
          </w:tcPr>
          <w:p>
            <w:pPr>
              <w:spacing w:after="0"/>
              <w:rPr>
                <w:sz w:val="20"/>
                <w:szCs w:val="20"/>
                <w:color w:val="auto"/>
              </w:rPr>
            </w:pPr>
          </w:p>
        </w:tc>
        <w:tc>
          <w:tcPr>
            <w:tcW w:w="13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4.7</w:t>
            </w:r>
          </w:p>
        </w:tc>
      </w:tr>
      <w:tr>
        <w:trPr>
          <w:trHeight w:val="228"/>
        </w:trPr>
        <w:tc>
          <w:tcPr>
            <w:tcW w:w="570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4.4 %</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4.5 %</w:t>
            </w:r>
          </w:p>
        </w:tc>
        <w:tc>
          <w:tcPr>
            <w:tcW w:w="5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4.4 %</w:t>
            </w:r>
          </w:p>
        </w:tc>
      </w:tr>
      <w:tr>
        <w:trPr>
          <w:trHeight w:val="29"/>
        </w:trPr>
        <w:tc>
          <w:tcPr>
            <w:tcW w:w="5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LEASES.</w:t>
      </w:r>
    </w:p>
    <w:p>
      <w:pPr>
        <w:spacing w:after="0" w:line="26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Company leases equipment manufactured or sold by the Company to customers through sales-type leases. Sales-type leases are included in financing receivables and are recognized within All other current assets and All other non-current assets in the Consolidated Statements of Financial Position.</w:t>
      </w:r>
    </w:p>
    <w:p>
      <w:pPr>
        <w:spacing w:after="0" w:line="1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Finance lease income was $14 million, $14 million, and $13 million for the years ended December 31, 2025, 2024, and 2023, respectively, and is recognized within Other (income) expense – net in the Consolidated Statements of Income.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Net Investment in Finance Leases</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454545"/>
              </w:rPr>
              <w:t>As of</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
        </w:trPr>
        <w:tc>
          <w:tcPr>
            <w:tcW w:w="3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Borders>
              <w:bottom w:val="single" w:sz="8" w:color="454545"/>
            </w:tcBorders>
            <w:gridSpan w:val="3"/>
          </w:tcPr>
          <w:p>
            <w:pPr>
              <w:spacing w:after="0" w:line="20" w:lineRule="exact"/>
              <w:rPr>
                <w:sz w:val="1"/>
                <w:szCs w:val="1"/>
                <w:color w:val="auto"/>
              </w:rPr>
            </w:pPr>
          </w:p>
        </w:tc>
        <w:tc>
          <w:tcPr>
            <w:tcW w:w="2000" w:type="dxa"/>
            <w:vAlign w:val="bottom"/>
            <w:tcBorders>
              <w:bottom w:val="single" w:sz="8" w:color="454545"/>
            </w:tcBorders>
            <w:gridSpan w:val="3"/>
          </w:tcPr>
          <w:p>
            <w:pPr>
              <w:spacing w:after="0" w:line="20" w:lineRule="exact"/>
              <w:rPr>
                <w:sz w:val="1"/>
                <w:szCs w:val="1"/>
                <w:color w:val="auto"/>
              </w:rPr>
            </w:pPr>
          </w:p>
        </w:tc>
      </w:tr>
      <w:tr>
        <w:trPr>
          <w:trHeight w:val="229"/>
        </w:trPr>
        <w:tc>
          <w:tcPr>
            <w:tcW w:w="3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December 31, 2025</w:t>
            </w:r>
          </w:p>
        </w:tc>
        <w:tc>
          <w:tcPr>
            <w:tcW w:w="200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3260" w:type="dxa"/>
            <w:vAlign w:val="bottom"/>
            <w:tcBorders>
              <w:bottom w:val="single" w:sz="8" w:color="6400A0"/>
            </w:tcBorders>
          </w:tcPr>
          <w:p>
            <w:pPr>
              <w:spacing w:after="0" w:line="20" w:lineRule="exact"/>
              <w:rPr>
                <w:sz w:val="1"/>
                <w:szCs w:val="1"/>
                <w:color w:val="auto"/>
              </w:rPr>
            </w:pPr>
          </w:p>
        </w:tc>
        <w:tc>
          <w:tcPr>
            <w:tcW w:w="86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r>
      <w:tr>
        <w:trPr>
          <w:trHeight w:val="230"/>
        </w:trPr>
        <w:tc>
          <w:tcPr>
            <w:tcW w:w="3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Minimum lease payments receivable</w:t>
            </w:r>
          </w:p>
        </w:tc>
        <w:tc>
          <w:tcPr>
            <w:tcW w:w="86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243</w:t>
            </w:r>
          </w:p>
        </w:tc>
        <w:tc>
          <w:tcPr>
            <w:tcW w:w="90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242</w:t>
            </w:r>
          </w:p>
        </w:tc>
      </w:tr>
      <w:tr>
        <w:trPr>
          <w:trHeight w:val="228"/>
        </w:trPr>
        <w:tc>
          <w:tcPr>
            <w:tcW w:w="3260" w:type="dxa"/>
            <w:vAlign w:val="bottom"/>
          </w:tcPr>
          <w:p>
            <w:pPr>
              <w:ind w:left="20"/>
              <w:spacing w:after="0"/>
              <w:rPr>
                <w:sz w:val="20"/>
                <w:szCs w:val="20"/>
                <w:color w:val="auto"/>
              </w:rPr>
            </w:pPr>
            <w:r>
              <w:rPr>
                <w:rFonts w:ascii="Arial" w:cs="Arial" w:eastAsia="Arial" w:hAnsi="Arial"/>
                <w:sz w:val="16"/>
                <w:szCs w:val="16"/>
                <w:color w:val="auto"/>
              </w:rPr>
              <w:t>Less: deferred income</w:t>
            </w: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60" w:type="dxa"/>
            <w:vAlign w:val="bottom"/>
            <w:gridSpan w:val="2"/>
          </w:tcPr>
          <w:p>
            <w:pPr>
              <w:jc w:val="right"/>
              <w:ind w:right="779"/>
              <w:spacing w:after="0"/>
              <w:rPr>
                <w:sz w:val="20"/>
                <w:szCs w:val="20"/>
                <w:color w:val="auto"/>
              </w:rPr>
            </w:pPr>
            <w:r>
              <w:rPr>
                <w:rFonts w:ascii="Arial" w:cs="Arial" w:eastAsia="Arial" w:hAnsi="Arial"/>
                <w:sz w:val="16"/>
                <w:szCs w:val="16"/>
                <w:color w:val="auto"/>
              </w:rPr>
              <w:t>(30)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9"/>
        </w:trPr>
        <w:tc>
          <w:tcPr>
            <w:tcW w:w="3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3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Discounted lease receivable</w:t>
            </w:r>
          </w:p>
        </w:tc>
        <w:tc>
          <w:tcPr>
            <w:tcW w:w="86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00" w:type="dxa"/>
            <w:vAlign w:val="bottom"/>
            <w:tcBorders>
              <w:bottom w:val="single" w:sz="8" w:color="E4E4E4"/>
            </w:tcBorders>
            <w:shd w:val="clear" w:color="auto" w:fill="E4E4E4"/>
          </w:tcPr>
          <w:p>
            <w:pPr>
              <w:spacing w:after="0"/>
              <w:rPr>
                <w:sz w:val="20"/>
                <w:szCs w:val="20"/>
                <w:color w:val="auto"/>
              </w:rPr>
            </w:pPr>
          </w:p>
        </w:tc>
        <w:tc>
          <w:tcPr>
            <w:tcW w:w="34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213</w:t>
            </w:r>
          </w:p>
        </w:tc>
        <w:tc>
          <w:tcPr>
            <w:tcW w:w="90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r>
      <w:tr>
        <w:trPr>
          <w:trHeight w:val="228"/>
        </w:trPr>
        <w:tc>
          <w:tcPr>
            <w:tcW w:w="5920" w:type="dxa"/>
            <w:vAlign w:val="bottom"/>
            <w:gridSpan w:val="5"/>
          </w:tcPr>
          <w:p>
            <w:pPr>
              <w:ind w:left="20"/>
              <w:spacing w:after="0"/>
              <w:rPr>
                <w:sz w:val="20"/>
                <w:szCs w:val="20"/>
                <w:color w:val="auto"/>
              </w:rPr>
            </w:pPr>
            <w:r>
              <w:rPr>
                <w:rFonts w:ascii="Arial" w:cs="Arial" w:eastAsia="Arial" w:hAnsi="Arial"/>
                <w:sz w:val="16"/>
                <w:szCs w:val="16"/>
                <w:color w:val="auto"/>
              </w:rPr>
              <w:t>Estimated unguaranteed residual value of leased assets, net of deferred income</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41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412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Investment in finance leases, net of deferred income</w:t>
            </w:r>
          </w:p>
        </w:tc>
        <w:tc>
          <w:tcPr>
            <w:tcW w:w="74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800" w:type="dxa"/>
            <w:vAlign w:val="bottom"/>
            <w:tcBorders>
              <w:bottom w:val="single" w:sz="8" w:color="E4E4E4"/>
            </w:tcBorders>
            <w:shd w:val="clear" w:color="auto" w:fill="E4E4E4"/>
          </w:tcPr>
          <w:p>
            <w:pPr>
              <w:spacing w:after="0"/>
              <w:rPr>
                <w:sz w:val="21"/>
                <w:szCs w:val="21"/>
                <w:color w:val="auto"/>
              </w:rPr>
            </w:pPr>
          </w:p>
        </w:tc>
        <w:tc>
          <w:tcPr>
            <w:tcW w:w="340" w:type="dxa"/>
            <w:vAlign w:val="bottom"/>
            <w:tcBorders>
              <w:bottom w:val="single" w:sz="8" w:color="E4E4E4"/>
            </w:tcBorders>
            <w:shd w:val="clear" w:color="auto" w:fill="E4E4E4"/>
          </w:tcPr>
          <w:p>
            <w:pPr>
              <w:spacing w:after="0"/>
              <w:rPr>
                <w:sz w:val="21"/>
                <w:szCs w:val="21"/>
                <w:color w:val="auto"/>
              </w:rPr>
            </w:pPr>
          </w:p>
        </w:tc>
        <w:tc>
          <w:tcPr>
            <w:tcW w:w="700" w:type="dxa"/>
            <w:vAlign w:val="bottom"/>
            <w:tcBorders>
              <w:bottom w:val="single" w:sz="8" w:color="E4E4E4"/>
            </w:tcBorders>
            <w:shd w:val="clear" w:color="auto" w:fill="E4E4E4"/>
          </w:tcPr>
          <w:p>
            <w:pPr>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E4E4E4"/>
            </w:tcBorders>
            <w:shd w:val="clear" w:color="auto" w:fill="E4E4E4"/>
          </w:tcPr>
          <w:p>
            <w:pPr>
              <w:spacing w:after="0"/>
              <w:rPr>
                <w:sz w:val="21"/>
                <w:szCs w:val="21"/>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225</w:t>
            </w:r>
          </w:p>
        </w:tc>
        <w:tc>
          <w:tcPr>
            <w:tcW w:w="900" w:type="dxa"/>
            <w:vAlign w:val="bottom"/>
            <w:tcBorders>
              <w:bottom w:val="single" w:sz="8" w:color="E4E4E4"/>
            </w:tcBorders>
            <w:shd w:val="clear" w:color="auto" w:fill="E4E4E4"/>
          </w:tcPr>
          <w:p>
            <w:pPr>
              <w:jc w:val="right"/>
              <w:ind w:right="639"/>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221</w:t>
            </w:r>
          </w:p>
        </w:tc>
      </w:tr>
      <w:tr>
        <w:trPr>
          <w:trHeight w:val="593"/>
        </w:trPr>
        <w:tc>
          <w:tcPr>
            <w:tcW w:w="32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Contractual Maturities</w:t>
            </w:r>
          </w:p>
        </w:tc>
        <w:tc>
          <w:tcPr>
            <w:tcW w:w="8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r>
      <w:tr>
        <w:trPr>
          <w:trHeight w:val="419"/>
        </w:trPr>
        <w:tc>
          <w:tcPr>
            <w:tcW w:w="3260" w:type="dxa"/>
            <w:vAlign w:val="bottom"/>
          </w:tcPr>
          <w:p>
            <w:pPr>
              <w:ind w:left="20"/>
              <w:spacing w:after="0"/>
              <w:rPr>
                <w:sz w:val="20"/>
                <w:szCs w:val="20"/>
                <w:color w:val="auto"/>
              </w:rPr>
            </w:pPr>
            <w:r>
              <w:rPr>
                <w:rFonts w:ascii="Arial" w:cs="Arial" w:eastAsia="Arial" w:hAnsi="Arial"/>
                <w:sz w:val="16"/>
                <w:szCs w:val="16"/>
                <w:b w:val="1"/>
                <w:bCs w:val="1"/>
                <w:color w:val="454545"/>
              </w:rPr>
              <w:t>Due In</w:t>
            </w:r>
          </w:p>
        </w:tc>
        <w:tc>
          <w:tcPr>
            <w:tcW w:w="860" w:type="dxa"/>
            <w:vAlign w:val="bottom"/>
          </w:tcPr>
          <w:p>
            <w:pPr>
              <w:spacing w:after="0"/>
              <w:rPr>
                <w:sz w:val="24"/>
                <w:szCs w:val="24"/>
                <w:color w:val="auto"/>
              </w:rPr>
            </w:pPr>
          </w:p>
        </w:tc>
        <w:tc>
          <w:tcPr>
            <w:tcW w:w="74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2026</w:t>
            </w:r>
          </w:p>
        </w:tc>
        <w:tc>
          <w:tcPr>
            <w:tcW w:w="260" w:type="dxa"/>
            <w:vAlign w:val="bottom"/>
          </w:tcPr>
          <w:p>
            <w:pPr>
              <w:spacing w:after="0"/>
              <w:rPr>
                <w:sz w:val="24"/>
                <w:szCs w:val="24"/>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2027</w:t>
            </w:r>
          </w:p>
        </w:tc>
        <w:tc>
          <w:tcPr>
            <w:tcW w:w="260" w:type="dxa"/>
            <w:vAlign w:val="bottom"/>
          </w:tcPr>
          <w:p>
            <w:pPr>
              <w:spacing w:after="0"/>
              <w:rPr>
                <w:sz w:val="24"/>
                <w:szCs w:val="24"/>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2028</w:t>
            </w:r>
          </w:p>
        </w:tc>
        <w:tc>
          <w:tcPr>
            <w:tcW w:w="34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6"/>
                <w:szCs w:val="16"/>
                <w:b w:val="1"/>
                <w:bCs w:val="1"/>
                <w:color w:val="454545"/>
              </w:rPr>
              <w:t>2029</w:t>
            </w:r>
          </w:p>
        </w:tc>
        <w:tc>
          <w:tcPr>
            <w:tcW w:w="260" w:type="dxa"/>
            <w:vAlign w:val="bottom"/>
          </w:tcPr>
          <w:p>
            <w:pPr>
              <w:spacing w:after="0"/>
              <w:rPr>
                <w:sz w:val="24"/>
                <w:szCs w:val="24"/>
                <w:color w:val="auto"/>
              </w:rPr>
            </w:pPr>
          </w:p>
        </w:tc>
        <w:tc>
          <w:tcPr>
            <w:tcW w:w="960" w:type="dxa"/>
            <w:vAlign w:val="bottom"/>
          </w:tcPr>
          <w:p>
            <w:pPr>
              <w:jc w:val="right"/>
              <w:ind w:right="399"/>
              <w:spacing w:after="0"/>
              <w:rPr>
                <w:sz w:val="20"/>
                <w:szCs w:val="20"/>
                <w:color w:val="auto"/>
              </w:rPr>
            </w:pPr>
            <w:r>
              <w:rPr>
                <w:rFonts w:ascii="Arial" w:cs="Arial" w:eastAsia="Arial" w:hAnsi="Arial"/>
                <w:sz w:val="16"/>
                <w:szCs w:val="16"/>
                <w:b w:val="1"/>
                <w:bCs w:val="1"/>
                <w:color w:val="454545"/>
              </w:rPr>
              <w:t>2030</w:t>
            </w:r>
          </w:p>
        </w:tc>
        <w:tc>
          <w:tcPr>
            <w:tcW w:w="900" w:type="dxa"/>
            <w:vAlign w:val="bottom"/>
          </w:tcPr>
          <w:p>
            <w:pPr>
              <w:jc w:val="right"/>
              <w:ind w:right="19"/>
              <w:spacing w:after="0"/>
              <w:rPr>
                <w:sz w:val="20"/>
                <w:szCs w:val="20"/>
                <w:color w:val="auto"/>
              </w:rPr>
            </w:pPr>
            <w:r>
              <w:rPr>
                <w:rFonts w:ascii="Arial" w:cs="Arial" w:eastAsia="Arial" w:hAnsi="Arial"/>
                <w:sz w:val="16"/>
                <w:szCs w:val="16"/>
                <w:b w:val="1"/>
                <w:bCs w:val="1"/>
                <w:color w:val="454545"/>
                <w:w w:val="99"/>
              </w:rPr>
              <w:t>Thereafter</w:t>
            </w:r>
          </w:p>
        </w:tc>
        <w:tc>
          <w:tcPr>
            <w:tcW w:w="260" w:type="dxa"/>
            <w:vAlign w:val="bottom"/>
          </w:tcPr>
          <w:p>
            <w:pPr>
              <w:spacing w:after="0"/>
              <w:rPr>
                <w:sz w:val="24"/>
                <w:szCs w:val="24"/>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260" w:type="dxa"/>
            <w:vAlign w:val="bottom"/>
            <w:tcBorders>
              <w:bottom w:val="single" w:sz="8" w:color="6400A0"/>
            </w:tcBorders>
          </w:tcPr>
          <w:p>
            <w:pPr>
              <w:spacing w:after="0" w:line="20" w:lineRule="exact"/>
              <w:rPr>
                <w:sz w:val="1"/>
                <w:szCs w:val="1"/>
                <w:color w:val="auto"/>
              </w:rPr>
            </w:pPr>
          </w:p>
        </w:tc>
        <w:tc>
          <w:tcPr>
            <w:tcW w:w="860" w:type="dxa"/>
            <w:vAlign w:val="bottom"/>
            <w:tcBorders>
              <w:bottom w:val="single" w:sz="8" w:color="6400A0"/>
            </w:tcBorders>
          </w:tcPr>
          <w:p>
            <w:pPr>
              <w:spacing w:after="0" w:line="20" w:lineRule="exact"/>
              <w:rPr>
                <w:sz w:val="1"/>
                <w:szCs w:val="1"/>
                <w:color w:val="auto"/>
              </w:rPr>
            </w:pPr>
          </w:p>
        </w:tc>
        <w:tc>
          <w:tcPr>
            <w:tcW w:w="74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7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96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r>
      <w:tr>
        <w:trPr>
          <w:trHeight w:val="230"/>
        </w:trPr>
        <w:tc>
          <w:tcPr>
            <w:tcW w:w="3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Minimum lease payments receivable</w:t>
            </w:r>
          </w:p>
        </w:tc>
        <w:tc>
          <w:tcPr>
            <w:tcW w:w="8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86</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16 $</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243</w:t>
            </w:r>
          </w:p>
        </w:tc>
      </w:tr>
      <w:tr>
        <w:trPr>
          <w:trHeight w:val="20"/>
        </w:trPr>
        <w:tc>
          <w:tcPr>
            <w:tcW w:w="3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expect actual maturities to differ from contractual maturities, primarily as a result of prepayments.</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ACQUISITIONS, GOODWILL, AND OTHER INTANGIBLE ASSETS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PROPOSED ACQUISITION.</w:t>
      </w:r>
    </w:p>
    <w:p>
      <w:pPr>
        <w:spacing w:after="0" w:line="26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On November 20, 2025, we announced an agreement to acquire Intelerad for a purchase price of $2,300 million to be paid in cash. The proceeds of senior unsecured notes issued in the fourth quarter of 2025, together with borrowings under a new delayed draw term loan facility and cash on hand, are expected to be used to fund the purchase price of the acquisition. See Note 9, “Borrowings” for additional information on the borrowings. Intelerad is a leading medical imaging software and digital enterprise workflow solutions company with a significant presence in outpatient ambulatory care settings. Its cloud-first products are designed for radiology and cardiology and extend across both inpatient and outpatient care settings. Intelerad’s outpatient footprint complements GE HealthCare’s footprint in hospital-based imaging. Together, these combined capabilities are expected to create a more comprehensive, cloud-first and AI-enabled imaging offering spanning diverse care settings—from large academic medical centers to rapidly expanding ambulatory networks. The transaction is expected to close in the first half of 2026, subject to customary closing conditions, including regulatory approvals.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icometrix</w:t>
      </w:r>
    </w:p>
    <w:p>
      <w:pPr>
        <w:spacing w:after="0" w:line="19"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On November 7, 2025, the Company acquired 100% of the stock of icometrix NV (“icometrix”) for approximately $98 million of upfront payment, net of cash acquired and potential earn-out payments up to $35 million based on sales targets over two years. icometrix is focused on providing AI-powered brain imaging analysis for neurological disorders such as Alzheimer’s disease. Through this acquisition, we expect to integrate the icometrix platform with our MRI systems. icometrix is included in the Company’s Imaging segment.</w:t>
      </w:r>
    </w:p>
    <w:p>
      <w:pPr>
        <w:spacing w:after="0" w:line="200"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This transaction was accounted for as a business combination. The preliminary purchase price allocation resulted in goodwill of $74 million, intangible assets of $34 million, and deferred tax liabilities of $9 million. Purchase price allocations are based on preliminary valuations. Our estimates and assumptions are subject to change within the measurement period. The goodwill associated with the acquired business is non-deductible for tax purposes.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6" w:name="page77"/>
    <w:bookmarkEnd w:id="7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Nihon Medi-Physics</w:t>
      </w:r>
    </w:p>
    <w:p>
      <w:pPr>
        <w:spacing w:after="0" w:line="19" w:lineRule="exact"/>
        <w:rPr>
          <w:sz w:val="20"/>
          <w:szCs w:val="20"/>
          <w:color w:val="auto"/>
        </w:rPr>
      </w:pPr>
    </w:p>
    <w:p>
      <w:pPr>
        <w:ind w:right="200"/>
        <w:spacing w:after="0" w:line="264" w:lineRule="auto"/>
        <w:rPr>
          <w:sz w:val="20"/>
          <w:szCs w:val="20"/>
          <w:color w:val="auto"/>
        </w:rPr>
      </w:pPr>
      <w:r>
        <w:rPr>
          <w:rFonts w:ascii="Arial" w:cs="Arial" w:eastAsia="Arial" w:hAnsi="Arial"/>
          <w:sz w:val="16"/>
          <w:szCs w:val="16"/>
          <w:color w:val="auto"/>
        </w:rPr>
        <w:t>On March 31, 2025, the Company acquired the remaining 50% interest in Nihon Medi-Physics Co., Ltd. (“NMP”) from joint venture partner Sumitomo Chemical for net cash consideration of $271 million. NMP is a leading pharmaceutical manufacturer in Japan, focused on radiopharmaceuticals, which are used to enable clinical images across neurology, cardiology, and oncology procedures, as well as nonclinical and clinical development of radiotracers and theranostics research. Their product portfolio includes several GE HealthCare radiopharmaceuticals. NMP is included in the Company’s PDx segment.</w:t>
      </w:r>
    </w:p>
    <w:p>
      <w:pPr>
        <w:spacing w:after="0" w:line="119"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On March 31, 2025, the fair value of the Company’s existing 50% interest in NMP was determined to be $301 million based on the cash consideration exchanged for acquiring the remaining 50% equity interest. The carrying value of our 50% interest was $204 million. The Company recognized a net gain of $97 million resulting from this remeasurement to fair value. This gain included the reclassification of certain amounts related to the Company’s 50% interest out of AOCI including foreign currency translation gains of $63 million and losses related to a defined benefit pension plan of $8 million. The net gain from this remeasurement was recorded in Other (income) expense – net in the Company’s Consolidated Statements of Income for the year ended December 31, 2025.</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the purchase price consideration transferred for the acquisition of NMP.</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60" w:type="dxa"/>
            <w:vAlign w:val="bottom"/>
          </w:tcPr>
          <w:p>
            <w:pPr>
              <w:jc w:val="right"/>
              <w:ind w:right="179"/>
              <w:spacing w:after="0"/>
              <w:rPr>
                <w:sz w:val="20"/>
                <w:szCs w:val="20"/>
                <w:color w:val="auto"/>
              </w:rPr>
            </w:pPr>
            <w:r>
              <w:rPr>
                <w:rFonts w:ascii="Arial" w:cs="Arial" w:eastAsia="Arial" w:hAnsi="Arial"/>
                <w:sz w:val="16"/>
                <w:szCs w:val="16"/>
                <w:b w:val="1"/>
                <w:bCs w:val="1"/>
                <w:color w:val="454545"/>
              </w:rPr>
              <w:t>Purchase consideration</w:t>
            </w:r>
          </w:p>
        </w:tc>
      </w:tr>
      <w:tr>
        <w:trPr>
          <w:trHeight w:val="21"/>
        </w:trPr>
        <w:tc>
          <w:tcPr>
            <w:tcW w:w="87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2160" w:type="dxa"/>
            <w:vAlign w:val="bottom"/>
            <w:tcBorders>
              <w:bottom w:val="single" w:sz="8" w:color="6022A6"/>
            </w:tcBorders>
          </w:tcPr>
          <w:p>
            <w:pPr>
              <w:spacing w:after="0" w:line="20" w:lineRule="exact"/>
              <w:rPr>
                <w:sz w:val="1"/>
                <w:szCs w:val="1"/>
                <w:color w:val="auto"/>
              </w:rPr>
            </w:pPr>
          </w:p>
        </w:tc>
      </w:tr>
      <w:tr>
        <w:trPr>
          <w:trHeight w:val="230"/>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consideration, net of cash acquired</w:t>
            </w: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271</w:t>
            </w:r>
          </w:p>
        </w:tc>
      </w:tr>
      <w:tr>
        <w:trPr>
          <w:trHeight w:val="228"/>
        </w:trPr>
        <w:tc>
          <w:tcPr>
            <w:tcW w:w="8760" w:type="dxa"/>
            <w:vAlign w:val="bottom"/>
          </w:tcPr>
          <w:p>
            <w:pPr>
              <w:ind w:left="20"/>
              <w:spacing w:after="0"/>
              <w:rPr>
                <w:sz w:val="20"/>
                <w:szCs w:val="20"/>
                <w:color w:val="auto"/>
              </w:rPr>
            </w:pPr>
            <w:r>
              <w:rPr>
                <w:rFonts w:ascii="Arial" w:cs="Arial" w:eastAsia="Arial" w:hAnsi="Arial"/>
                <w:sz w:val="16"/>
                <w:szCs w:val="16"/>
                <w:color w:val="auto"/>
              </w:rPr>
              <w:t>Fair value of previously held interest in NMP</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301</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2"/>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Fair value of contingent consideration</w:t>
            </w:r>
          </w:p>
        </w:tc>
        <w:tc>
          <w:tcPr>
            <w:tcW w:w="320" w:type="dxa"/>
            <w:vAlign w:val="bottom"/>
            <w:tcBorders>
              <w:bottom w:val="single" w:sz="8" w:color="E4E4E4"/>
            </w:tcBorders>
            <w:shd w:val="clear" w:color="auto" w:fill="E4E4E4"/>
          </w:tcPr>
          <w:p>
            <w:pPr>
              <w:spacing w:after="0"/>
              <w:rPr>
                <w:sz w:val="22"/>
                <w:szCs w:val="22"/>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87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allocable purchase price</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577</w:t>
            </w:r>
          </w:p>
        </w:tc>
      </w:tr>
      <w:tr>
        <w:trPr>
          <w:trHeight w:val="21"/>
        </w:trPr>
        <w:tc>
          <w:tcPr>
            <w:tcW w:w="8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518"/>
        </w:trPr>
        <w:tc>
          <w:tcPr>
            <w:tcW w:w="8760" w:type="dxa"/>
            <w:vAlign w:val="bottom"/>
          </w:tcPr>
          <w:p>
            <w:pPr>
              <w:spacing w:after="0"/>
              <w:rPr>
                <w:sz w:val="20"/>
                <w:szCs w:val="20"/>
                <w:color w:val="auto"/>
              </w:rPr>
            </w:pPr>
            <w:r>
              <w:rPr>
                <w:rFonts w:ascii="Arial" w:cs="Arial" w:eastAsia="Arial" w:hAnsi="Arial"/>
                <w:sz w:val="16"/>
                <w:szCs w:val="16"/>
                <w:color w:val="auto"/>
              </w:rPr>
              <w:t>The preliminary fair values of the assets and liabilities assumed in connection with the acquisition of NMP are as follows.</w:t>
            </w: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64"/>
        </w:trPr>
        <w:tc>
          <w:tcPr>
            <w:tcW w:w="87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160" w:type="dxa"/>
            <w:vAlign w:val="bottom"/>
          </w:tcPr>
          <w:p>
            <w:pPr>
              <w:jc w:val="right"/>
              <w:ind w:right="259"/>
              <w:spacing w:after="0"/>
              <w:rPr>
                <w:sz w:val="20"/>
                <w:szCs w:val="20"/>
                <w:color w:val="auto"/>
              </w:rPr>
            </w:pPr>
            <w:r>
              <w:rPr>
                <w:rFonts w:ascii="Arial" w:cs="Arial" w:eastAsia="Arial" w:hAnsi="Arial"/>
                <w:sz w:val="16"/>
                <w:szCs w:val="16"/>
                <w:b w:val="1"/>
                <w:bCs w:val="1"/>
                <w:color w:val="454545"/>
              </w:rPr>
              <w:t>Preliminary allocation</w:t>
            </w:r>
          </w:p>
        </w:tc>
      </w:tr>
      <w:tr>
        <w:trPr>
          <w:trHeight w:val="21"/>
        </w:trPr>
        <w:tc>
          <w:tcPr>
            <w:tcW w:w="87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2160" w:type="dxa"/>
            <w:vAlign w:val="bottom"/>
            <w:tcBorders>
              <w:bottom w:val="single" w:sz="8" w:color="6022A6"/>
            </w:tcBorders>
          </w:tcPr>
          <w:p>
            <w:pPr>
              <w:spacing w:after="0" w:line="20" w:lineRule="exact"/>
              <w:rPr>
                <w:sz w:val="1"/>
                <w:szCs w:val="1"/>
                <w:color w:val="auto"/>
              </w:rPr>
            </w:pPr>
          </w:p>
        </w:tc>
      </w:tr>
      <w:tr>
        <w:trPr>
          <w:trHeight w:val="230"/>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Receivables</w:t>
            </w: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53</w:t>
            </w:r>
          </w:p>
        </w:tc>
      </w:tr>
      <w:tr>
        <w:trPr>
          <w:trHeight w:val="227"/>
        </w:trPr>
        <w:tc>
          <w:tcPr>
            <w:tcW w:w="876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7"/>
        </w:trPr>
        <w:tc>
          <w:tcPr>
            <w:tcW w:w="8760" w:type="dxa"/>
            <w:vAlign w:val="bottom"/>
            <w:shd w:val="clear" w:color="auto" w:fill="E4E4E4"/>
          </w:tcPr>
          <w:p>
            <w:pPr>
              <w:ind w:left="20"/>
              <w:spacing w:after="0"/>
              <w:rPr>
                <w:sz w:val="20"/>
                <w:szCs w:val="20"/>
                <w:color w:val="auto"/>
              </w:rPr>
            </w:pPr>
            <w:r>
              <w:rPr>
                <w:rFonts w:ascii="Arial" w:cs="Arial" w:eastAsia="Arial" w:hAnsi="Arial"/>
                <w:sz w:val="16"/>
                <w:szCs w:val="16"/>
                <w:color w:val="auto"/>
              </w:rPr>
              <w:t>All other current assets</w:t>
            </w:r>
            <w:r>
              <w:rPr>
                <w:rFonts w:ascii="Arial" w:cs="Arial" w:eastAsia="Arial" w:hAnsi="Arial"/>
                <w:sz w:val="21"/>
                <w:szCs w:val="21"/>
                <w:color w:val="auto"/>
                <w:vertAlign w:val="superscript"/>
              </w:rPr>
              <w:t>(1)</w:t>
            </w:r>
          </w:p>
        </w:tc>
        <w:tc>
          <w:tcPr>
            <w:tcW w:w="320" w:type="dxa"/>
            <w:vAlign w:val="bottom"/>
            <w:shd w:val="clear" w:color="auto" w:fill="E4E4E4"/>
          </w:tcPr>
          <w:p>
            <w:pPr>
              <w:spacing w:after="0"/>
              <w:rPr>
                <w:sz w:val="22"/>
                <w:szCs w:val="22"/>
                <w:color w:val="auto"/>
              </w:rPr>
            </w:pPr>
          </w:p>
        </w:tc>
        <w:tc>
          <w:tcPr>
            <w:tcW w:w="21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35</w:t>
            </w:r>
          </w:p>
        </w:tc>
      </w:tr>
      <w:tr>
        <w:trPr>
          <w:trHeight w:val="228"/>
        </w:trPr>
        <w:tc>
          <w:tcPr>
            <w:tcW w:w="876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240</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6"/>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E4E4E4"/>
            </w:tcBorders>
            <w:shd w:val="clear" w:color="auto" w:fill="E4E4E4"/>
          </w:tcPr>
          <w:p>
            <w:pPr>
              <w:spacing w:after="0"/>
              <w:rPr>
                <w:sz w:val="20"/>
                <w:szCs w:val="20"/>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w:t>
            </w:r>
          </w:p>
        </w:tc>
      </w:tr>
      <w:tr>
        <w:trPr>
          <w:trHeight w:val="228"/>
        </w:trPr>
        <w:tc>
          <w:tcPr>
            <w:tcW w:w="876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assets</w:t>
            </w:r>
          </w:p>
        </w:tc>
        <w:tc>
          <w:tcPr>
            <w:tcW w:w="320" w:type="dxa"/>
            <w:vAlign w:val="bottom"/>
            <w:tcBorders>
              <w:bottom w:val="single" w:sz="8" w:color="E4E4E4"/>
            </w:tcBorders>
            <w:shd w:val="clear" w:color="auto" w:fill="E4E4E4"/>
          </w:tcPr>
          <w:p>
            <w:pPr>
              <w:spacing w:after="0"/>
              <w:rPr>
                <w:sz w:val="20"/>
                <w:szCs w:val="20"/>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39</w:t>
            </w:r>
          </w:p>
        </w:tc>
      </w:tr>
      <w:tr>
        <w:trPr>
          <w:trHeight w:val="228"/>
        </w:trPr>
        <w:tc>
          <w:tcPr>
            <w:tcW w:w="876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9"/>
        </w:trPr>
        <w:tc>
          <w:tcPr>
            <w:tcW w:w="8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37"/>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liabilities</w:t>
            </w:r>
          </w:p>
        </w:tc>
        <w:tc>
          <w:tcPr>
            <w:tcW w:w="320" w:type="dxa"/>
            <w:vAlign w:val="bottom"/>
            <w:tcBorders>
              <w:bottom w:val="single" w:sz="8" w:color="E4E4E4"/>
            </w:tcBorders>
            <w:shd w:val="clear" w:color="auto" w:fill="E4E4E4"/>
          </w:tcPr>
          <w:p>
            <w:pPr>
              <w:spacing w:after="0"/>
              <w:rPr>
                <w:sz w:val="20"/>
                <w:szCs w:val="20"/>
                <w:color w:val="auto"/>
              </w:rPr>
            </w:pP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(145)</w:t>
            </w:r>
          </w:p>
        </w:tc>
      </w:tr>
      <w:tr>
        <w:trPr>
          <w:trHeight w:val="256"/>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3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30"/>
        </w:trPr>
        <w:tc>
          <w:tcPr>
            <w:tcW w:w="87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net assets post acquisition</w:t>
            </w:r>
          </w:p>
        </w:tc>
        <w:tc>
          <w:tcPr>
            <w:tcW w:w="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577</w:t>
            </w:r>
          </w:p>
        </w:tc>
      </w:tr>
      <w:tr>
        <w:trPr>
          <w:trHeight w:val="20"/>
        </w:trPr>
        <w:tc>
          <w:tcPr>
            <w:tcW w:w="8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All other current assets includes $35 million of indemnification assets, with the underlying indemnified liabilities recorded in All other non-current liabilities.</w:t>
      </w:r>
    </w:p>
    <w:p>
      <w:pPr>
        <w:spacing w:after="0" w:line="21" w:lineRule="exact"/>
        <w:rPr>
          <w:rFonts w:ascii="Arial" w:cs="Arial" w:eastAsia="Arial" w:hAnsi="Arial"/>
          <w:sz w:val="16"/>
          <w:szCs w:val="16"/>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Other includes Accounts payable, All other current liabilities, and Current compensation and benefits.</w:t>
      </w:r>
    </w:p>
    <w:p>
      <w:pPr>
        <w:spacing w:after="0" w:line="232"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allocation of purchase price of NMP to the tangible and intangible assets acquired and liabilities assumed, as reflected in the table above, is based on the Company’s preliminary allocations of their fair values. As of December 31, 2025, measurement period adjustments included changes to the purchase price allocation, resulting in a net increase of approximately $4 million to goodwill. The measurement period adjustments resulted primarily from adjustments to acquired intangibles and decommissioning liabilities based on facts and circumstances that existed as of the acquisition date. While all amounts remain subject to adjustments, the areas potentially subject to the most significant adjustments are decommissioning liabilities and deferred income taxes. The Company’s management believes the fair values recognized for the assets acquired and the liabilities assumed are based on reasonable estimates and assumptions.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mostly comprised of land, buildings, equipment (including machinery, furniture, and fixtures) and construction in process.</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property, plant, and equipment was determined using a market participant approach.</w:t>
      </w:r>
    </w:p>
    <w:p>
      <w:pPr>
        <w:spacing w:after="0" w:line="18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Other intangibles relate to $235 million of definite-lived intangible assets. Definite-lived intangible assets consist primarily of developed product market authorization rights and customer relationships. The acquired definite-lived intangibles are being amortized over a weighted-average estimated useful life of approximately 13 years. The estimated fair value of intangibles was determined using the income approach, which is a valuation technique that provides an estimate of the fair value of an asset based on market participant expectations of cash flows an asset would generate over its useful life.</w:t>
      </w:r>
    </w:p>
    <w:p>
      <w:pPr>
        <w:spacing w:after="0" w:line="146"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goodwill associated with NMP, recorded within the PDx segment, is non-deductible for tax purposes and is attributed to expected synergies with NMP’s existing assets and workforce that are expected to allow the Company greater access and growth in the Japan market.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Included in All other non-current liabilities are asset retirement obligations and decommissioning liabilities of $124 million, which were assumed in the transaction.</w:t>
      </w:r>
    </w:p>
    <w:p>
      <w:pPr>
        <w:spacing w:after="0" w:line="196"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NMP has a defined benefit pension plan which has pension assets of $71 million and pension liabilities of $33 million, a net asset of $38 million, which we acquired in the transaction and is included in All other non-current assets.</w:t>
      </w:r>
    </w:p>
    <w:p>
      <w:pPr>
        <w:spacing w:after="0" w:line="182" w:lineRule="exact"/>
        <w:rPr>
          <w:sz w:val="20"/>
          <w:szCs w:val="20"/>
          <w:color w:val="auto"/>
        </w:rPr>
      </w:pPr>
    </w:p>
    <w:p>
      <w:pPr>
        <w:ind w:right="300"/>
        <w:spacing w:after="0" w:line="304" w:lineRule="auto"/>
        <w:rPr>
          <w:sz w:val="20"/>
          <w:szCs w:val="20"/>
          <w:color w:val="auto"/>
        </w:rPr>
      </w:pPr>
      <w:r>
        <w:rPr>
          <w:rFonts w:ascii="Arial" w:cs="Arial" w:eastAsia="Arial" w:hAnsi="Arial"/>
          <w:sz w:val="16"/>
          <w:szCs w:val="16"/>
          <w:color w:val="auto"/>
        </w:rPr>
        <w:t>Deferred income tax liabilities include the expected U.S. federal, state, and foreign tax consequences associated with temporary differences between the preliminary fair values of the assets acquired and liabilities assumed and the respective tax basis.</w:t>
      </w:r>
    </w:p>
    <w:p>
      <w:pPr>
        <w:spacing w:after="0" w:line="168" w:lineRule="exact"/>
        <w:rPr>
          <w:sz w:val="20"/>
          <w:szCs w:val="20"/>
          <w:color w:val="auto"/>
        </w:rPr>
      </w:pPr>
    </w:p>
    <w:p>
      <w:pPr>
        <w:ind w:right="180"/>
        <w:spacing w:after="0" w:line="304" w:lineRule="auto"/>
        <w:rPr>
          <w:sz w:val="20"/>
          <w:szCs w:val="20"/>
          <w:color w:val="auto"/>
        </w:rPr>
      </w:pPr>
      <w:r>
        <w:rPr>
          <w:rFonts w:ascii="Arial" w:cs="Arial" w:eastAsia="Arial" w:hAnsi="Arial"/>
          <w:sz w:val="16"/>
          <w:szCs w:val="16"/>
          <w:color w:val="auto"/>
        </w:rPr>
        <w:t>If the acquisition of NMP had taken place as of the beginning of 2024, consolidated revenues and earnings would not have been significantly different than reported amounts.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MIM Software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On April 1, 2024, the Company acquired 100% of the stock of MIM Software Inc. (“MIM Software”) for approximately $259 million, net of cash acquired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$11 million, and potential contingent payments valued at $13 million pertaining to achievement of certain milestones, for a total purchase price of $283</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million. The acquisition included up to $23 million of other contingent payments based on service requirements. The acquisition was funded with cash 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hand. This transaction was accounted for as a business combination. The purchase price allocation, which was finalized in the first quarter of 2025 without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material adjustments, resulted in goodwill of $189 million, customer-related intangible assets of $52 million, developed technology intangible assets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$48 million, net deferred tax liabilities of $13 million, and other net assets of $7 million. The goodwill associated with the acquired business, recorded within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Imaging segment, is non-deductible for tax purposes and is attributed to expected synergies and commercial benefits from use of the MIM Software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technology in our existing GE HealthCare portfolio. MIM Software is a global provider of medical imaging analysis and AI solutions for the practice of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radiation oncology, molecular radiotherapy, diagnostic imaging, and urology at imaging centers, hospitals, specialty clinics, and research organizations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worldwide.</w:t>
      </w:r>
    </w:p>
    <w:p>
      <w:pPr>
        <w:spacing w:after="0" w:line="232"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If the acquisition of MIM Software had taken place as of the beginning of 2023, consolidated revenues and earnings would not have been significantly different from reported amounts.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20" w:type="dxa"/>
            <w:vAlign w:val="bottom"/>
          </w:tcPr>
          <w:p>
            <w:pPr>
              <w:spacing w:after="0"/>
              <w:rPr>
                <w:sz w:val="20"/>
                <w:szCs w:val="20"/>
                <w:color w:val="auto"/>
              </w:rPr>
            </w:pPr>
            <w:r>
              <w:rPr>
                <w:rFonts w:ascii="Arial" w:cs="Arial" w:eastAsia="Arial" w:hAnsi="Arial"/>
                <w:sz w:val="16"/>
                <w:szCs w:val="16"/>
                <w:b w:val="1"/>
                <w:bCs w:val="1"/>
                <w:color w:val="auto"/>
              </w:rPr>
              <w:t>GOODWILL.</w:t>
            </w:r>
          </w:p>
        </w:tc>
        <w:tc>
          <w:tcPr>
            <w:tcW w:w="1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7"/>
        </w:trPr>
        <w:tc>
          <w:tcPr>
            <w:tcW w:w="3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454545"/>
              </w:rPr>
              <w:t>Imaging</w:t>
            </w:r>
          </w:p>
        </w:tc>
        <w:tc>
          <w:tcPr>
            <w:tcW w:w="300" w:type="dxa"/>
            <w:vAlign w:val="bottom"/>
          </w:tcPr>
          <w:p>
            <w:pPr>
              <w:spacing w:after="0"/>
              <w:rPr>
                <w:sz w:val="22"/>
                <w:szCs w:val="22"/>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454545"/>
              </w:rPr>
              <w:t>AVS</w:t>
            </w:r>
          </w:p>
        </w:tc>
        <w:tc>
          <w:tcPr>
            <w:tcW w:w="300" w:type="dxa"/>
            <w:vAlign w:val="bottom"/>
          </w:tcPr>
          <w:p>
            <w:pPr>
              <w:spacing w:after="0"/>
              <w:rPr>
                <w:sz w:val="22"/>
                <w:szCs w:val="22"/>
                <w:color w:val="auto"/>
              </w:rPr>
            </w:pPr>
          </w:p>
        </w:tc>
        <w:tc>
          <w:tcPr>
            <w:tcW w:w="1020" w:type="dxa"/>
            <w:vAlign w:val="bottom"/>
          </w:tcPr>
          <w:p>
            <w:pPr>
              <w:jc w:val="right"/>
              <w:ind w:right="399"/>
              <w:spacing w:after="0"/>
              <w:rPr>
                <w:sz w:val="20"/>
                <w:szCs w:val="20"/>
                <w:color w:val="auto"/>
              </w:rPr>
            </w:pPr>
            <w:r>
              <w:rPr>
                <w:rFonts w:ascii="Arial" w:cs="Arial" w:eastAsia="Arial" w:hAnsi="Arial"/>
                <w:sz w:val="16"/>
                <w:szCs w:val="16"/>
                <w:b w:val="1"/>
                <w:bCs w:val="1"/>
                <w:color w:val="454545"/>
              </w:rPr>
              <w:t>PCS</w:t>
            </w:r>
          </w:p>
        </w:tc>
        <w:tc>
          <w:tcPr>
            <w:tcW w:w="300" w:type="dxa"/>
            <w:vAlign w:val="bottom"/>
          </w:tcPr>
          <w:p>
            <w:pPr>
              <w:spacing w:after="0"/>
              <w:rPr>
                <w:sz w:val="22"/>
                <w:szCs w:val="22"/>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454545"/>
              </w:rPr>
              <w:t>PDx</w:t>
            </w:r>
          </w:p>
        </w:tc>
        <w:tc>
          <w:tcPr>
            <w:tcW w:w="300" w:type="dxa"/>
            <w:vAlign w:val="bottom"/>
          </w:tcPr>
          <w:p>
            <w:pPr>
              <w:spacing w:after="0"/>
              <w:rPr>
                <w:sz w:val="22"/>
                <w:szCs w:val="22"/>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2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c>
          <w:tcPr>
            <w:tcW w:w="108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00" w:type="dxa"/>
            <w:vAlign w:val="bottom"/>
            <w:tcBorders>
              <w:bottom w:val="single" w:sz="8" w:color="6022A6"/>
            </w:tcBorders>
          </w:tcPr>
          <w:p>
            <w:pPr>
              <w:spacing w:after="0" w:line="20" w:lineRule="exact"/>
              <w:rPr>
                <w:sz w:val="1"/>
                <w:szCs w:val="1"/>
                <w:color w:val="auto"/>
              </w:rPr>
            </w:pPr>
          </w:p>
        </w:tc>
        <w:tc>
          <w:tcPr>
            <w:tcW w:w="30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r>
      <w:tr>
        <w:trPr>
          <w:trHeight w:val="230"/>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120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4,431</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3,933</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2,038</w:t>
            </w:r>
          </w:p>
        </w:tc>
        <w:tc>
          <w:tcPr>
            <w:tcW w:w="30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2,534</w:t>
            </w:r>
          </w:p>
        </w:tc>
        <w:tc>
          <w:tcPr>
            <w:tcW w:w="30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12,936</w:t>
            </w:r>
          </w:p>
        </w:tc>
      </w:tr>
      <w:tr>
        <w:trPr>
          <w:trHeight w:val="228"/>
        </w:trPr>
        <w:tc>
          <w:tcPr>
            <w:tcW w:w="3720" w:type="dxa"/>
            <w:vAlign w:val="bottom"/>
          </w:tcPr>
          <w:p>
            <w:pPr>
              <w:ind w:left="20"/>
              <w:spacing w:after="0"/>
              <w:rPr>
                <w:sz w:val="20"/>
                <w:szCs w:val="20"/>
                <w:color w:val="auto"/>
              </w:rPr>
            </w:pPr>
            <w:r>
              <w:rPr>
                <w:rFonts w:ascii="Arial" w:cs="Arial" w:eastAsia="Arial" w:hAnsi="Arial"/>
                <w:sz w:val="16"/>
                <w:szCs w:val="16"/>
                <w:color w:val="auto"/>
              </w:rPr>
              <w:t>Reallocation</w:t>
            </w:r>
          </w:p>
        </w:tc>
        <w:tc>
          <w:tcPr>
            <w:tcW w:w="1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7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3720" w:type="dxa"/>
            <w:vAlign w:val="bottom"/>
            <w:shd w:val="clear" w:color="auto" w:fill="E4E4E4"/>
          </w:tcPr>
          <w:p>
            <w:pPr>
              <w:ind w:left="2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(1)</w:t>
            </w:r>
          </w:p>
        </w:tc>
        <w:tc>
          <w:tcPr>
            <w:tcW w:w="1200" w:type="dxa"/>
            <w:vAlign w:val="bottom"/>
            <w:shd w:val="clear" w:color="auto" w:fill="E4E4E4"/>
          </w:tcPr>
          <w:p>
            <w:pPr>
              <w:spacing w:after="0"/>
              <w:rPr>
                <w:sz w:val="22"/>
                <w:szCs w:val="22"/>
                <w:color w:val="auto"/>
              </w:rPr>
            </w:pP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194</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42</w:t>
            </w:r>
          </w:p>
        </w:tc>
        <w:tc>
          <w:tcPr>
            <w:tcW w:w="300" w:type="dxa"/>
            <w:vAlign w:val="bottom"/>
            <w:shd w:val="clear" w:color="auto" w:fill="E4E4E4"/>
          </w:tcPr>
          <w:p>
            <w:pPr>
              <w:spacing w:after="0"/>
              <w:rPr>
                <w:sz w:val="22"/>
                <w:szCs w:val="22"/>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E4E4E4"/>
          </w:tcPr>
          <w:p>
            <w:pPr>
              <w:spacing w:after="0"/>
              <w:rPr>
                <w:sz w:val="22"/>
                <w:szCs w:val="22"/>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236</w:t>
            </w:r>
          </w:p>
        </w:tc>
      </w:tr>
      <w:tr>
        <w:trPr>
          <w:trHeight w:val="228"/>
        </w:trPr>
        <w:tc>
          <w:tcPr>
            <w:tcW w:w="372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1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9"/>
        </w:trPr>
        <w:tc>
          <w:tcPr>
            <w:tcW w:w="3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5"/>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120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3,581</w:t>
            </w:r>
          </w:p>
        </w:tc>
        <w:tc>
          <w:tcPr>
            <w:tcW w:w="30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4,987</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2,035</w:t>
            </w:r>
          </w:p>
        </w:tc>
        <w:tc>
          <w:tcPr>
            <w:tcW w:w="30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2,533</w:t>
            </w:r>
          </w:p>
        </w:tc>
        <w:tc>
          <w:tcPr>
            <w:tcW w:w="30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13,136</w:t>
            </w:r>
          </w:p>
        </w:tc>
      </w:tr>
      <w:tr>
        <w:trPr>
          <w:trHeight w:val="250"/>
        </w:trPr>
        <w:tc>
          <w:tcPr>
            <w:tcW w:w="37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Acquisitions</w:t>
            </w:r>
            <w:r>
              <w:rPr>
                <w:rFonts w:ascii="Arial" w:cs="Arial" w:eastAsia="Arial" w:hAnsi="Arial"/>
                <w:sz w:val="21"/>
                <w:szCs w:val="21"/>
                <w:color w:val="auto"/>
                <w:vertAlign w:val="superscript"/>
              </w:rPr>
              <w:t>(2)</w:t>
            </w:r>
          </w:p>
        </w:tc>
        <w:tc>
          <w:tcPr>
            <w:tcW w:w="1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w:t>
            </w: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w:t>
            </w:r>
          </w:p>
        </w:tc>
      </w:tr>
      <w:tr>
        <w:trPr>
          <w:trHeight w:val="262"/>
        </w:trPr>
        <w:tc>
          <w:tcPr>
            <w:tcW w:w="3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and other</w:t>
            </w:r>
          </w:p>
        </w:tc>
        <w:tc>
          <w:tcPr>
            <w:tcW w:w="1200" w:type="dxa"/>
            <w:vAlign w:val="bottom"/>
            <w:tcBorders>
              <w:bottom w:val="single" w:sz="8" w:color="E4E4E4"/>
            </w:tcBorders>
            <w:shd w:val="clear" w:color="auto" w:fill="E4E4E4"/>
          </w:tcPr>
          <w:p>
            <w:pPr>
              <w:spacing w:after="0"/>
              <w:rPr>
                <w:sz w:val="22"/>
                <w:szCs w:val="22"/>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30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300" w:type="dxa"/>
            <w:vAlign w:val="bottom"/>
            <w:tcBorders>
              <w:bottom w:val="single" w:sz="8" w:color="E4E4E4"/>
            </w:tcBorders>
            <w:shd w:val="clear" w:color="auto" w:fill="E4E4E4"/>
          </w:tcPr>
          <w:p>
            <w:pPr>
              <w:spacing w:after="0"/>
              <w:rPr>
                <w:sz w:val="22"/>
                <w:szCs w:val="22"/>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r>
      <w:tr>
        <w:trPr>
          <w:trHeight w:val="229"/>
        </w:trPr>
        <w:tc>
          <w:tcPr>
            <w:tcW w:w="3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3,682</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5,020</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2,041</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2,745</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13,489</w:t>
            </w:r>
          </w:p>
        </w:tc>
      </w:tr>
      <w:tr>
        <w:trPr>
          <w:trHeight w:val="21"/>
        </w:trPr>
        <w:tc>
          <w:tcPr>
            <w:tcW w:w="3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380" w:hanging="252"/>
        <w:spacing w:after="0" w:line="265" w:lineRule="auto"/>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the purchase of MIM Software recorded within our Imaging segment, as described above, and Intelligent Ultrasound Group PLC in our AVS segment.</w:t>
      </w:r>
    </w:p>
    <w:p>
      <w:pPr>
        <w:spacing w:after="0" w:line="1" w:lineRule="exact"/>
        <w:rPr>
          <w:rFonts w:ascii="Arial" w:cs="Arial" w:eastAsia="Arial" w:hAnsi="Arial"/>
          <w:sz w:val="16"/>
          <w:szCs w:val="16"/>
          <w:color w:val="auto"/>
        </w:rPr>
      </w:pPr>
    </w:p>
    <w:p>
      <w:pPr>
        <w:ind w:left="260" w:right="400" w:hanging="252"/>
        <w:spacing w:after="0" w:line="283" w:lineRule="auto"/>
        <w:tabs>
          <w:tab w:leader="none" w:pos="2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Includes the purchase of icometrix, as described above, and Spectronic Medical AB, both recorded within our Imaging segment. Also included is the purchase of NMP, as described above, recorded within our PDx segment.</w:t>
      </w:r>
    </w:p>
    <w:p>
      <w:pPr>
        <w:spacing w:after="0" w:line="18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Company performs an impairment test of goodwill annually in the fourth quarter using either the quantitative or qualitative approach. In 2025 the impairment testing was conducted using the qualitative approach. Based on the results of the testing conducted, we concluded that no goodwill impairments existed for the years ended December 31, 2025,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360" w:type="dxa"/>
            <w:vAlign w:val="bottom"/>
          </w:tcPr>
          <w:p>
            <w:pPr>
              <w:spacing w:after="0"/>
              <w:rPr>
                <w:sz w:val="20"/>
                <w:szCs w:val="20"/>
                <w:color w:val="auto"/>
              </w:rPr>
            </w:pPr>
            <w:r>
              <w:rPr>
                <w:rFonts w:ascii="Arial" w:cs="Arial" w:eastAsia="Arial" w:hAnsi="Arial"/>
                <w:sz w:val="16"/>
                <w:szCs w:val="16"/>
                <w:b w:val="1"/>
                <w:bCs w:val="1"/>
                <w:color w:val="auto"/>
              </w:rPr>
              <w:t>OTHER INTANGIBLE ASSETS.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40" w:type="dxa"/>
            <w:vAlign w:val="bottom"/>
            <w:gridSpan w:val="4"/>
          </w:tcPr>
          <w:p>
            <w:pPr>
              <w:jc w:val="center"/>
              <w:ind w:left="579"/>
              <w:spacing w:after="0"/>
              <w:rPr>
                <w:sz w:val="20"/>
                <w:szCs w:val="20"/>
                <w:color w:val="auto"/>
              </w:rPr>
            </w:pPr>
            <w:r>
              <w:rPr>
                <w:rFonts w:ascii="Arial" w:cs="Arial" w:eastAsia="Arial" w:hAnsi="Arial"/>
                <w:sz w:val="16"/>
                <w:szCs w:val="16"/>
                <w:b w:val="1"/>
                <w:bCs w:val="1"/>
                <w:color w:val="454545"/>
              </w:rPr>
              <w:t>As of December 31, 2025</w:t>
            </w: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740" w:type="dxa"/>
            <w:vAlign w:val="bottom"/>
            <w:gridSpan w:val="4"/>
          </w:tcPr>
          <w:p>
            <w:pPr>
              <w:jc w:val="center"/>
              <w:ind w:left="559"/>
              <w:spacing w:after="0"/>
              <w:rPr>
                <w:sz w:val="20"/>
                <w:szCs w:val="20"/>
                <w:color w:val="auto"/>
              </w:rPr>
            </w:pPr>
            <w:r>
              <w:rPr>
                <w:rFonts w:ascii="Arial" w:cs="Arial" w:eastAsia="Arial" w:hAnsi="Arial"/>
                <w:sz w:val="16"/>
                <w:szCs w:val="16"/>
                <w:b w:val="1"/>
                <w:bCs w:val="1"/>
                <w:color w:val="454545"/>
              </w:rPr>
              <w:t>As of December 31, 2024</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260" w:type="dxa"/>
            <w:vAlign w:val="bottom"/>
            <w:tcBorders>
              <w:bottom w:val="single" w:sz="8" w:color="454545"/>
            </w:tcBorders>
            <w:gridSpan w:val="2"/>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454545"/>
            </w:tcBorders>
            <w:gridSpan w:val="2"/>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33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Gross Carrying</w:t>
            </w:r>
          </w:p>
        </w:tc>
        <w:tc>
          <w:tcPr>
            <w:tcW w:w="140" w:type="dxa"/>
            <w:vAlign w:val="bottom"/>
          </w:tcPr>
          <w:p>
            <w:pPr>
              <w:spacing w:after="0"/>
              <w:rPr>
                <w:sz w:val="18"/>
                <w:szCs w:val="18"/>
                <w:color w:val="auto"/>
              </w:rPr>
            </w:pPr>
          </w:p>
        </w:tc>
        <w:tc>
          <w:tcPr>
            <w:tcW w:w="1160" w:type="dxa"/>
            <w:vAlign w:val="bottom"/>
          </w:tcPr>
          <w:p>
            <w:pPr>
              <w:jc w:val="center"/>
              <w:ind w:right="39"/>
              <w:spacing w:after="0"/>
              <w:rPr>
                <w:sz w:val="20"/>
                <w:szCs w:val="20"/>
                <w:color w:val="auto"/>
              </w:rPr>
            </w:pPr>
            <w:r>
              <w:rPr>
                <w:rFonts w:ascii="Arial" w:cs="Arial" w:eastAsia="Arial" w:hAnsi="Arial"/>
                <w:sz w:val="16"/>
                <w:szCs w:val="16"/>
                <w:b w:val="1"/>
                <w:bCs w:val="1"/>
                <w:color w:val="454545"/>
                <w:w w:val="99"/>
              </w:rPr>
              <w:t>Accumulated</w:t>
            </w:r>
          </w:p>
        </w:tc>
        <w:tc>
          <w:tcPr>
            <w:tcW w:w="400" w:type="dxa"/>
            <w:vAlign w:val="bottom"/>
          </w:tcPr>
          <w:p>
            <w:pPr>
              <w:spacing w:after="0"/>
              <w:rPr>
                <w:sz w:val="18"/>
                <w:szCs w:val="18"/>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454545"/>
              </w:rPr>
              <w:t>Net</w:t>
            </w:r>
          </w:p>
        </w:tc>
        <w:tc>
          <w:tcPr>
            <w:tcW w:w="12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Gross Carrying</w:t>
            </w:r>
          </w:p>
        </w:tc>
        <w:tc>
          <w:tcPr>
            <w:tcW w:w="120" w:type="dxa"/>
            <w:vAlign w:val="bottom"/>
          </w:tcPr>
          <w:p>
            <w:pPr>
              <w:spacing w:after="0"/>
              <w:rPr>
                <w:sz w:val="18"/>
                <w:szCs w:val="18"/>
                <w:color w:val="auto"/>
              </w:rPr>
            </w:pPr>
          </w:p>
        </w:tc>
        <w:tc>
          <w:tcPr>
            <w:tcW w:w="1160" w:type="dxa"/>
            <w:vAlign w:val="bottom"/>
          </w:tcPr>
          <w:p>
            <w:pPr>
              <w:jc w:val="center"/>
              <w:ind w:right="19"/>
              <w:spacing w:after="0"/>
              <w:rPr>
                <w:sz w:val="20"/>
                <w:szCs w:val="20"/>
                <w:color w:val="auto"/>
              </w:rPr>
            </w:pPr>
            <w:r>
              <w:rPr>
                <w:rFonts w:ascii="Arial" w:cs="Arial" w:eastAsia="Arial" w:hAnsi="Arial"/>
                <w:sz w:val="16"/>
                <w:szCs w:val="16"/>
                <w:b w:val="1"/>
                <w:bCs w:val="1"/>
                <w:color w:val="454545"/>
              </w:rPr>
              <w:t>Accumulated</w:t>
            </w:r>
          </w:p>
        </w:tc>
        <w:tc>
          <w:tcPr>
            <w:tcW w:w="420" w:type="dxa"/>
            <w:vAlign w:val="bottom"/>
          </w:tcPr>
          <w:p>
            <w:pPr>
              <w:spacing w:after="0"/>
              <w:rPr>
                <w:sz w:val="18"/>
                <w:szCs w:val="18"/>
                <w:color w:val="auto"/>
              </w:rPr>
            </w:pPr>
          </w:p>
        </w:tc>
        <w:tc>
          <w:tcPr>
            <w:tcW w:w="8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454545"/>
              </w:rPr>
              <w:t>Net</w:t>
            </w:r>
          </w:p>
        </w:tc>
        <w:tc>
          <w:tcPr>
            <w:tcW w:w="0" w:type="dxa"/>
            <w:vAlign w:val="bottom"/>
          </w:tcPr>
          <w:p>
            <w:pPr>
              <w:spacing w:after="0"/>
              <w:rPr>
                <w:sz w:val="1"/>
                <w:szCs w:val="1"/>
                <w:color w:val="auto"/>
              </w:rPr>
            </w:pPr>
          </w:p>
        </w:tc>
      </w:tr>
      <w:tr>
        <w:trPr>
          <w:trHeight w:val="115"/>
        </w:trPr>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454545"/>
              </w:rPr>
              <w:t>Amount</w:t>
            </w:r>
          </w:p>
        </w:tc>
        <w:tc>
          <w:tcPr>
            <w:tcW w:w="140" w:type="dxa"/>
            <w:vAlign w:val="bottom"/>
          </w:tcPr>
          <w:p>
            <w:pPr>
              <w:spacing w:after="0"/>
              <w:rPr>
                <w:sz w:val="9"/>
                <w:szCs w:val="9"/>
                <w:color w:val="auto"/>
              </w:rPr>
            </w:pPr>
          </w:p>
        </w:tc>
        <w:tc>
          <w:tcPr>
            <w:tcW w:w="116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454545"/>
              </w:rPr>
              <w:t>Amortization</w:t>
            </w:r>
          </w:p>
        </w:tc>
        <w:tc>
          <w:tcPr>
            <w:tcW w:w="4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454545"/>
              </w:rPr>
              <w:t>Amount</w:t>
            </w:r>
          </w:p>
        </w:tc>
        <w:tc>
          <w:tcPr>
            <w:tcW w:w="120" w:type="dxa"/>
            <w:vAlign w:val="bottom"/>
          </w:tcPr>
          <w:p>
            <w:pPr>
              <w:spacing w:after="0"/>
              <w:rPr>
                <w:sz w:val="9"/>
                <w:szCs w:val="9"/>
                <w:color w:val="auto"/>
              </w:rPr>
            </w:pPr>
          </w:p>
        </w:tc>
        <w:tc>
          <w:tcPr>
            <w:tcW w:w="1160" w:type="dxa"/>
            <w:vAlign w:val="bottom"/>
            <w:vMerge w:val="restart"/>
          </w:tcPr>
          <w:p>
            <w:pPr>
              <w:jc w:val="center"/>
              <w:ind w:right="19"/>
              <w:spacing w:after="0"/>
              <w:rPr>
                <w:sz w:val="20"/>
                <w:szCs w:val="20"/>
                <w:color w:val="auto"/>
              </w:rPr>
            </w:pPr>
            <w:r>
              <w:rPr>
                <w:rFonts w:ascii="Arial" w:cs="Arial" w:eastAsia="Arial" w:hAnsi="Arial"/>
                <w:sz w:val="16"/>
                <w:szCs w:val="16"/>
                <w:b w:val="1"/>
                <w:bCs w:val="1"/>
                <w:color w:val="454545"/>
              </w:rPr>
              <w:t>Amortization</w:t>
            </w:r>
          </w:p>
        </w:tc>
        <w:tc>
          <w:tcPr>
            <w:tcW w:w="4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336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8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Definite-lived assets</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360" w:type="dxa"/>
            <w:vAlign w:val="bottom"/>
          </w:tcPr>
          <w:p>
            <w:pPr>
              <w:ind w:left="140"/>
              <w:spacing w:after="0"/>
              <w:rPr>
                <w:sz w:val="20"/>
                <w:szCs w:val="20"/>
                <w:color w:val="auto"/>
              </w:rPr>
            </w:pPr>
            <w:r>
              <w:rPr>
                <w:rFonts w:ascii="Arial" w:cs="Arial" w:eastAsia="Arial" w:hAnsi="Arial"/>
                <w:sz w:val="16"/>
                <w:szCs w:val="16"/>
                <w:color w:val="auto"/>
              </w:rPr>
              <w:t>Customer-related</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(43)</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236</w:t>
            </w:r>
          </w:p>
        </w:tc>
        <w:tc>
          <w:tcPr>
            <w:tcW w:w="2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33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Patents and technology</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2,698</w:t>
            </w:r>
          </w:p>
        </w:tc>
        <w:tc>
          <w:tcPr>
            <w:tcW w:w="14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(2,128)</w:t>
            </w:r>
          </w:p>
        </w:tc>
        <w:tc>
          <w:tcPr>
            <w:tcW w:w="40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570</w:t>
            </w:r>
          </w:p>
        </w:tc>
        <w:tc>
          <w:tcPr>
            <w:tcW w:w="24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2,593</w:t>
            </w:r>
          </w:p>
        </w:tc>
        <w:tc>
          <w:tcPr>
            <w:tcW w:w="120" w:type="dxa"/>
            <w:vAlign w:val="bottom"/>
            <w:tcBorders>
              <w:bottom w:val="single" w:sz="8" w:color="E4E4E4"/>
            </w:tcBorders>
            <w:shd w:val="clear" w:color="auto" w:fill="E4E4E4"/>
          </w:tcPr>
          <w:p>
            <w:pPr>
              <w:spacing w:after="0"/>
              <w:rPr>
                <w:sz w:val="20"/>
                <w:szCs w:val="20"/>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(1,987)</w:t>
            </w:r>
          </w:p>
        </w:tc>
        <w:tc>
          <w:tcPr>
            <w:tcW w:w="42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28"/>
        </w:trPr>
        <w:tc>
          <w:tcPr>
            <w:tcW w:w="3360" w:type="dxa"/>
            <w:vAlign w:val="bottom"/>
          </w:tcPr>
          <w:p>
            <w:pPr>
              <w:ind w:left="140"/>
              <w:spacing w:after="0"/>
              <w:rPr>
                <w:sz w:val="20"/>
                <w:szCs w:val="20"/>
                <w:color w:val="auto"/>
              </w:rPr>
            </w:pPr>
            <w:r>
              <w:rPr>
                <w:rFonts w:ascii="Arial" w:cs="Arial" w:eastAsia="Arial" w:hAnsi="Arial"/>
                <w:sz w:val="16"/>
                <w:szCs w:val="16"/>
                <w:color w:val="auto"/>
              </w:rPr>
              <w:t>Capitalized software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1,703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(1,470)</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1,743</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(1,437)</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1"/>
        </w:trPr>
        <w:tc>
          <w:tcPr>
            <w:tcW w:w="336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Trademarks and other</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40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240" w:type="dxa"/>
            <w:vAlign w:val="bottom"/>
            <w:tcBorders>
              <w:bottom w:val="single" w:sz="8" w:color="E4E4E4"/>
            </w:tcBorders>
            <w:shd w:val="clear" w:color="auto" w:fill="E4E4E4"/>
          </w:tcPr>
          <w:p>
            <w:pPr>
              <w:spacing w:after="0"/>
              <w:rPr>
                <w:sz w:val="22"/>
                <w:szCs w:val="22"/>
                <w:color w:val="auto"/>
              </w:rPr>
            </w:pP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E4E4E4"/>
            </w:tcBorders>
            <w:shd w:val="clear" w:color="auto" w:fill="E4E4E4"/>
          </w:tcPr>
          <w:p>
            <w:pPr>
              <w:spacing w:after="0"/>
              <w:rPr>
                <w:sz w:val="22"/>
                <w:szCs w:val="22"/>
                <w:color w:val="auto"/>
              </w:rPr>
            </w:pP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c>
          <w:tcPr>
            <w:tcW w:w="420" w:type="dxa"/>
            <w:vAlign w:val="bottom"/>
            <w:tcBorders>
              <w:bottom w:val="single" w:sz="8" w:color="E4E4E4"/>
            </w:tcBorders>
            <w:shd w:val="clear" w:color="auto" w:fill="E4E4E4"/>
          </w:tcPr>
          <w:p>
            <w:pPr>
              <w:spacing w:after="0"/>
              <w:rPr>
                <w:sz w:val="22"/>
                <w:szCs w:val="22"/>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33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definite-lived assets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4,727</w:t>
            </w: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(3,672)</w:t>
            </w:r>
          </w:p>
        </w:tc>
        <w:tc>
          <w:tcPr>
            <w:tcW w:w="4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1,055</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4,481</w:t>
            </w: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(3,477)</w:t>
            </w: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1,004</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3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Indefinite-lived assets</w:t>
            </w:r>
            <w:r>
              <w:rPr>
                <w:rFonts w:ascii="Arial" w:cs="Arial" w:eastAsia="Arial" w:hAnsi="Arial"/>
                <w:sz w:val="21"/>
                <w:szCs w:val="21"/>
                <w:b w:val="1"/>
                <w:bCs w:val="1"/>
                <w:color w:val="auto"/>
                <w:vertAlign w:val="superscript"/>
              </w:rPr>
              <w:t>(1)</w:t>
            </w:r>
          </w:p>
        </w:tc>
        <w:tc>
          <w:tcPr>
            <w:tcW w:w="22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14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40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75</w:t>
            </w:r>
          </w:p>
        </w:tc>
        <w:tc>
          <w:tcPr>
            <w:tcW w:w="240" w:type="dxa"/>
            <w:vAlign w:val="bottom"/>
            <w:tcBorders>
              <w:bottom w:val="single" w:sz="8" w:color="auto"/>
            </w:tcBorders>
            <w:shd w:val="clear" w:color="auto" w:fill="E4E4E4"/>
          </w:tcPr>
          <w:p>
            <w:pPr>
              <w:spacing w:after="0"/>
              <w:rPr>
                <w:sz w:val="22"/>
                <w:szCs w:val="22"/>
                <w:color w:val="auto"/>
              </w:rPr>
            </w:pPr>
          </w:p>
        </w:tc>
        <w:tc>
          <w:tcPr>
            <w:tcW w:w="220" w:type="dxa"/>
            <w:vAlign w:val="bottom"/>
            <w:tcBorders>
              <w:bottom w:val="single" w:sz="8" w:color="auto"/>
            </w:tcBorders>
            <w:shd w:val="clear" w:color="auto" w:fill="E4E4E4"/>
          </w:tcPr>
          <w:p>
            <w:pPr>
              <w:spacing w:after="0"/>
              <w:rPr>
                <w:sz w:val="22"/>
                <w:szCs w:val="22"/>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w:t>
            </w:r>
          </w:p>
        </w:tc>
        <w:tc>
          <w:tcPr>
            <w:tcW w:w="120" w:type="dxa"/>
            <w:vAlign w:val="bottom"/>
            <w:tcBorders>
              <w:bottom w:val="single" w:sz="8" w:color="auto"/>
            </w:tcBorders>
            <w:shd w:val="clear" w:color="auto" w:fill="E4E4E4"/>
          </w:tcPr>
          <w:p>
            <w:pPr>
              <w:spacing w:after="0"/>
              <w:rPr>
                <w:sz w:val="22"/>
                <w:szCs w:val="22"/>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420" w:type="dxa"/>
            <w:vAlign w:val="bottom"/>
            <w:tcBorders>
              <w:bottom w:val="single" w:sz="8" w:color="auto"/>
            </w:tcBorders>
            <w:shd w:val="clear" w:color="auto" w:fill="E4E4E4"/>
          </w:tcPr>
          <w:p>
            <w:pPr>
              <w:spacing w:after="0"/>
              <w:rPr>
                <w:sz w:val="22"/>
                <w:szCs w:val="22"/>
                <w:color w:val="auto"/>
              </w:rPr>
            </w:pPr>
          </w:p>
        </w:tc>
        <w:tc>
          <w:tcPr>
            <w:tcW w:w="8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6"/>
                <w:szCs w:val="16"/>
                <w:b w:val="1"/>
                <w:bCs w:val="1"/>
                <w:color w:val="auto"/>
              </w:rPr>
              <w:t>Total other intangible assets</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4,802</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(3,672)</w:t>
            </w:r>
          </w:p>
        </w:tc>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1,130</w:t>
            </w:r>
          </w:p>
        </w:tc>
        <w:tc>
          <w:tcPr>
            <w:tcW w:w="24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4,555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(3,477)</w:t>
            </w:r>
          </w:p>
        </w:tc>
        <w:tc>
          <w:tcPr>
            <w:tcW w:w="42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1,078</w:t>
            </w:r>
          </w:p>
        </w:tc>
        <w:tc>
          <w:tcPr>
            <w:tcW w:w="0" w:type="dxa"/>
            <w:vAlign w:val="bottom"/>
          </w:tcPr>
          <w:p>
            <w:pPr>
              <w:spacing w:after="0"/>
              <w:rPr>
                <w:sz w:val="1"/>
                <w:szCs w:val="1"/>
                <w:color w:val="auto"/>
              </w:rPr>
            </w:pPr>
          </w:p>
        </w:tc>
      </w:tr>
      <w:tr>
        <w:trPr>
          <w:trHeight w:val="21"/>
        </w:trPr>
        <w:tc>
          <w:tcPr>
            <w:tcW w:w="3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Indefinite-lived intangible assets relate to acquired IPR&amp;D prior to project completion and are not amortized.</w:t>
      </w:r>
    </w:p>
    <w:p>
      <w:pPr>
        <w:sectPr>
          <w:pgSz w:w="11900" w:h="16838" w:orient="portrait"/>
          <w:cols w:equalWidth="0" w:num="1">
            <w:col w:w="11240"/>
          </w:cols>
          <w:pgMar w:left="320" w:top="130" w:right="339" w:bottom="7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754" w:gutter="0" w:footer="0" w:header="0"/>
          <w:type w:val="continuous"/>
        </w:sectPr>
      </w:pPr>
    </w:p>
    <w:bookmarkStart w:id="78" w:name="page79"/>
    <w:bookmarkEnd w:id="7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The Company performs an impairment test of IPR&amp;D in the third quarter. In 2025, 2024, and 2023, the Company performed qualitative testing for all IPR&amp;D assets and quantitative testing when warranted. Based on the results of this testing, there were no material impairments of indefinite-lived intangible assets recognized in the years ended December 31, 2025, 2024, or 2023.</w:t>
      </w:r>
    </w:p>
    <w:p>
      <w:pPr>
        <w:spacing w:after="0" w:line="191"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During the year ended December 31, 2025, we recorded additions to acquired intangible assets subject to amortization of $280 million, primarily related to patents and technology and customer-related intangibles, with a weighted-average useful life of ten years.</w:t>
      </w:r>
    </w:p>
    <w:p>
      <w:pPr>
        <w:spacing w:after="0" w:line="168"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Amortization expense was $291 million, $312 million, and $362 million for the years ended December 31, 2025, 2024, and 2023, respectively. There were no material impairments of definite-lived intangible assets recognized in the years ended December 31, 2025, 2024, or 2023.</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Estimated annual pre-tax amortization expense for intangible assets as of December 31, 2025 over the next five calendar years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6"/>
                <w:szCs w:val="16"/>
                <w:b w:val="1"/>
                <w:bCs w:val="1"/>
                <w:color w:val="454545"/>
              </w:rPr>
              <w:t>2026</w:t>
            </w: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2027</w:t>
            </w: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454545"/>
              </w:rPr>
              <w:t>2028</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454545"/>
              </w:rPr>
              <w:t>2029</w:t>
            </w:r>
          </w:p>
        </w:tc>
        <w:tc>
          <w:tcPr>
            <w:tcW w:w="320" w:type="dxa"/>
            <w:vAlign w:val="bottom"/>
          </w:tcPr>
          <w:p>
            <w:pPr>
              <w:spacing w:after="0"/>
              <w:rPr>
                <w:sz w:val="19"/>
                <w:szCs w:val="19"/>
                <w:color w:val="auto"/>
              </w:rPr>
            </w:pPr>
          </w:p>
        </w:tc>
        <w:tc>
          <w:tcPr>
            <w:tcW w:w="1000" w:type="dxa"/>
            <w:vAlign w:val="bottom"/>
          </w:tcPr>
          <w:p>
            <w:pPr>
              <w:jc w:val="right"/>
              <w:ind w:right="379"/>
              <w:spacing w:after="0"/>
              <w:rPr>
                <w:sz w:val="20"/>
                <w:szCs w:val="20"/>
                <w:color w:val="auto"/>
              </w:rPr>
            </w:pPr>
            <w:r>
              <w:rPr>
                <w:rFonts w:ascii="Arial" w:cs="Arial" w:eastAsia="Arial" w:hAnsi="Arial"/>
                <w:sz w:val="16"/>
                <w:szCs w:val="16"/>
                <w:b w:val="1"/>
                <w:bCs w:val="1"/>
                <w:color w:val="454545"/>
              </w:rPr>
              <w:t>2030</w:t>
            </w:r>
          </w:p>
        </w:tc>
      </w:tr>
      <w:tr>
        <w:trPr>
          <w:trHeight w:val="21"/>
        </w:trPr>
        <w:tc>
          <w:tcPr>
            <w:tcW w:w="3780" w:type="dxa"/>
            <w:vAlign w:val="bottom"/>
            <w:tcBorders>
              <w:bottom w:val="single" w:sz="8" w:color="6400A0"/>
            </w:tcBorders>
          </w:tcPr>
          <w:p>
            <w:pPr>
              <w:spacing w:after="0" w:line="20" w:lineRule="exact"/>
              <w:rPr>
                <w:sz w:val="1"/>
                <w:szCs w:val="1"/>
                <w:color w:val="auto"/>
              </w:rPr>
            </w:pPr>
          </w:p>
        </w:tc>
        <w:tc>
          <w:tcPr>
            <w:tcW w:w="1880" w:type="dxa"/>
            <w:vAlign w:val="bottom"/>
            <w:tcBorders>
              <w:bottom w:val="single" w:sz="8" w:color="6400A0"/>
            </w:tcBorders>
          </w:tcPr>
          <w:p>
            <w:pPr>
              <w:spacing w:after="0" w:line="20" w:lineRule="exact"/>
              <w:rPr>
                <w:sz w:val="1"/>
                <w:szCs w:val="1"/>
                <w:color w:val="auto"/>
              </w:rPr>
            </w:pPr>
          </w:p>
        </w:tc>
        <w:tc>
          <w:tcPr>
            <w:tcW w:w="38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38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c>
          <w:tcPr>
            <w:tcW w:w="32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r>
      <w:tr>
        <w:trPr>
          <w:trHeight w:val="230"/>
        </w:trPr>
        <w:tc>
          <w:tcPr>
            <w:tcW w:w="37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Estimated annual pre-tax amortization</w:t>
            </w:r>
          </w:p>
        </w:tc>
        <w:tc>
          <w:tcPr>
            <w:tcW w:w="1880" w:type="dxa"/>
            <w:vAlign w:val="bottom"/>
            <w:tcBorders>
              <w:bottom w:val="single" w:sz="8" w:color="E4E4E4"/>
            </w:tcBorders>
            <w:shd w:val="clear" w:color="auto" w:fill="E4E4E4"/>
          </w:tcPr>
          <w:p>
            <w:pPr>
              <w:jc w:val="right"/>
              <w:ind w:right="67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259</w:t>
            </w:r>
          </w:p>
        </w:tc>
        <w:tc>
          <w:tcPr>
            <w:tcW w:w="920" w:type="dxa"/>
            <w:vAlign w:val="bottom"/>
            <w:tcBorders>
              <w:bottom w:val="single" w:sz="8" w:color="E4E4E4"/>
            </w:tcBorders>
            <w:shd w:val="clear" w:color="auto" w:fill="E4E4E4"/>
          </w:tcPr>
          <w:p>
            <w:pPr>
              <w:jc w:val="right"/>
              <w:ind w:right="69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178</w:t>
            </w:r>
          </w:p>
        </w:tc>
        <w:tc>
          <w:tcPr>
            <w:tcW w:w="920" w:type="dxa"/>
            <w:vAlign w:val="bottom"/>
            <w:tcBorders>
              <w:bottom w:val="single" w:sz="8" w:color="E4E4E4"/>
            </w:tcBorders>
            <w:shd w:val="clear" w:color="auto" w:fill="E4E4E4"/>
          </w:tcPr>
          <w:p>
            <w:pPr>
              <w:jc w:val="right"/>
              <w:ind w:right="69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127</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108</w:t>
            </w:r>
          </w:p>
        </w:tc>
        <w:tc>
          <w:tcPr>
            <w:tcW w:w="32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93</w:t>
            </w:r>
          </w:p>
        </w:tc>
      </w:tr>
      <w:tr>
        <w:trPr>
          <w:trHeight w:val="20"/>
        </w:trPr>
        <w:tc>
          <w:tcPr>
            <w:tcW w:w="37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BORROWINGS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Company’s borrowings include the senior unsecured notes and credit agreements detailed below.</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Unsecured Notes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In the second quarter of 2025, the Company issued $650 million of 4.800% senior unsecured notes due in 2031 and $850 million of 5.500% senior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unsecured notes due in 2035. In the fourth quarter of 2025, the Company issued $600 million of 4.150% senior unsecured notes due in 2028 and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$650 million of 4.950% senior unsecured notes due in 2035. The senior unsecured notes issued in the fourth quarter of 2025 are subject to a special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mandatory redemption at a price equal to 101% of the aggregate principal amount of such notes, plus accrued and unpaid interest thereon, if the acquisition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of Intelerad is not consummated on or prior to November 20, 2026, or if prior to such date the agreement to acquire Intelerad is terminated. Otherwise,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non-economic terms of the newly issued senior unsecured notes are substantially similar to the terms of the Company’s existing senior unsecured notes. For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on the proposed Intelerad acquisition, see Note 8, “Acquisitions, Goodwill, and Other Intangible Assets.”</w:t>
      </w:r>
    </w:p>
    <w:p>
      <w:pPr>
        <w:spacing w:after="0" w:line="23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In the fourth quarter of 2025, the Company repaid $1,500 million aggregate principal amount of 5.600% senior unsecured notes due November 2025. As of December 31, 2025, the Company’s borrowings include $9,500 million aggregate principal amount of senior unsecured notes in nine series with maturity dates ranging from 2027 through 2052 (collectively, the “Notes”).</w:t>
      </w:r>
    </w:p>
    <w:p>
      <w:pPr>
        <w:spacing w:after="0" w:line="205"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Interest payments on the Notes are due semi-annually until maturity. In the event of a change in control and a related downgrade of the ratings of the Notes below investment grade, the indenture governing the Notes requires that the Company make an offer to each holder of the Notes to repurchase all or any part of that holder’s notes at a repurchase price equal to 101% of the aggregate principal amount of the Notes repurchased, plus any accrued and unpaid interest. The indenture also includes a limitation on liens incurred by the Company and its wholly owned U.S. subsidiaries. The indenture does not restrict the Company or its subsidiaries from incurring indebtedness, nor does it contain any financial covenants. All covenants are subject to a number of exceptions, limitations, and qualifications. Refer to the table below for further information about the Notes.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Credit Facilities</w:t>
      </w:r>
    </w:p>
    <w:p>
      <w:pPr>
        <w:spacing w:after="0" w:line="19"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In the first quarter of 2025, the Company terminated its existing five-year and 364-day senior unsecured revolving credit facilities. These were replaced with new five-year and 364-day senior unsecured revolving credit facilities in aggregate committed amounts of $3,000 million and $500 million, respectively. The terms of these new facilities are substantially similar to those of the terminated facilities. In the fourth quarter of 2025, the Company entered into a delayed draw term loan facility in an aggregate committed amount of $750 million.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credit agreements providing for:</w:t>
      </w:r>
    </w:p>
    <w:p>
      <w:pPr>
        <w:spacing w:after="0" w:line="100" w:lineRule="exact"/>
        <w:rPr>
          <w:sz w:val="20"/>
          <w:szCs w:val="20"/>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five-year senior unsecured revolving credit facility in an aggregate committed amount of $3,000 million, maturing on March 27, 2030;</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364-day senior unsecured revolving credit facility in an aggregate committed amount of $500 million, maturing on March 26, 2026;</w:t>
      </w:r>
    </w:p>
    <w:p>
      <w:pPr>
        <w:spacing w:after="0" w:line="99" w:lineRule="exact"/>
        <w:rPr>
          <w:rFonts w:ascii="Arial" w:cs="Arial" w:eastAsia="Arial" w:hAnsi="Arial"/>
          <w:sz w:val="16"/>
          <w:szCs w:val="16"/>
          <w:color w:val="auto"/>
        </w:rPr>
      </w:pPr>
    </w:p>
    <w:p>
      <w:pPr>
        <w:ind w:left="660" w:right="220" w:hanging="328"/>
        <w:spacing w:after="0" w:line="286"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three-year senior unsecured term loan credit facility in an aggregate principal amount of $2,000 million, maturing on January 2, 2026 (the “Term Loan Facility”), and</w:t>
      </w:r>
    </w:p>
    <w:p>
      <w:pPr>
        <w:spacing w:after="0" w:line="47" w:lineRule="exact"/>
        <w:rPr>
          <w:rFonts w:ascii="Arial" w:cs="Arial" w:eastAsia="Arial" w:hAnsi="Arial"/>
          <w:sz w:val="16"/>
          <w:szCs w:val="16"/>
          <w:color w:val="auto"/>
        </w:rPr>
      </w:pPr>
    </w:p>
    <w:p>
      <w:pPr>
        <w:ind w:left="660" w:right="340" w:hanging="328"/>
        <w:spacing w:after="0" w:line="266" w:lineRule="auto"/>
        <w:tabs>
          <w:tab w:leader="none" w:pos="649"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three-year senior unsecured delayed draw term loan credit facility in an aggregate principal amount of $750 million, maturing on the third anniversary of the date on which the term loan is made to the Company (the “Delayed Draw Term Loan Facility” and, together with the five-year revolving credit facility, the 364-day revolving credit facility, and the Term Loan Facility, the “Credit Facilities”).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There were no outstanding amounts under the Delayed Draw Term Loan Facility, the five-year revolving credit facility, or the 364-day revolving credit facility, and there was $500 million and $750 million outstanding on the Term Loan Facility as of December 31, 2025 and 2024, respectively. In the first quarter of 2025, we repaid $250 million of the Term Loan Facility. The Company expects to use borrowings under the Delayed Draw Term Facility to partially fund the expected acquisition of Intelerad.</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Company pays a facility fee to each lender, which accrues at a rate equal to an applicable margin specified in the revolving credit facility agreements on the daily commitments of the lenders. The borrowings under each of the Credit Facilities will bear interest at variable interest rates equal to: (1) the alternate base rate or (2) the Secured Overnight Financing Rate, in each case plus an applicable margin specified in the respective credit agreement. The Credit Facilities contain affirmative and negative covenants customary to financings of this type that limit, among other things, the Company’s ability to incur additional liens and to enter into certain fundamental change transactions and the incurrence of indebtedness by the Company’s subsidiaries. In addition, the Credit Facilities contain a financial covenant that requires the Company to not exceed a maximum consolidated net leverage ratio. The Company was in compliance with the financial covenant at each reporting period during 2025. The revolving credit facilities will be used for general corporate purposes.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Borrowings Composition</w:t>
            </w:r>
          </w:p>
        </w:tc>
        <w:tc>
          <w:tcPr>
            <w:tcW w:w="280" w:type="dxa"/>
            <w:vAlign w:val="bottom"/>
          </w:tcPr>
          <w:p>
            <w:pPr>
              <w:spacing w:after="0"/>
              <w:rPr>
                <w:sz w:val="19"/>
                <w:szCs w:val="19"/>
                <w:color w:val="auto"/>
              </w:rPr>
            </w:pPr>
          </w:p>
        </w:tc>
        <w:tc>
          <w:tcPr>
            <w:tcW w:w="2340" w:type="dxa"/>
            <w:vAlign w:val="bottom"/>
            <w:gridSpan w:val="2"/>
          </w:tcPr>
          <w:p>
            <w:pPr>
              <w:jc w:val="right"/>
              <w:ind w:right="39"/>
              <w:spacing w:after="0"/>
              <w:rPr>
                <w:sz w:val="20"/>
                <w:szCs w:val="20"/>
                <w:color w:val="auto"/>
              </w:rPr>
            </w:pPr>
            <w:r>
              <w:rPr>
                <w:rFonts w:ascii="Arial" w:cs="Arial" w:eastAsia="Arial" w:hAnsi="Arial"/>
                <w:sz w:val="16"/>
                <w:szCs w:val="16"/>
                <w:b w:val="1"/>
                <w:bCs w:val="1"/>
                <w:color w:val="454545"/>
              </w:rPr>
              <w:t>As of</w:t>
            </w:r>
          </w:p>
        </w:tc>
        <w:tc>
          <w:tcPr>
            <w:tcW w:w="1980" w:type="dxa"/>
            <w:vAlign w:val="bottom"/>
          </w:tcPr>
          <w:p>
            <w:pPr>
              <w:spacing w:after="0"/>
              <w:rPr>
                <w:sz w:val="19"/>
                <w:szCs w:val="19"/>
                <w:color w:val="auto"/>
              </w:rPr>
            </w:pPr>
          </w:p>
        </w:tc>
      </w:tr>
      <w:tr>
        <w:trPr>
          <w:trHeight w:val="21"/>
        </w:trPr>
        <w:tc>
          <w:tcPr>
            <w:tcW w:w="664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200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980" w:type="dxa"/>
            <w:vAlign w:val="bottom"/>
            <w:tcBorders>
              <w:bottom w:val="single" w:sz="8" w:color="454545"/>
            </w:tcBorders>
          </w:tcPr>
          <w:p>
            <w:pPr>
              <w:spacing w:after="0" w:line="20" w:lineRule="exact"/>
              <w:rPr>
                <w:sz w:val="1"/>
                <w:szCs w:val="1"/>
                <w:color w:val="auto"/>
              </w:rPr>
            </w:pPr>
          </w:p>
        </w:tc>
      </w:tr>
      <w:tr>
        <w:trPr>
          <w:trHeight w:val="229"/>
        </w:trPr>
        <w:tc>
          <w:tcPr>
            <w:tcW w:w="6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0" w:type="dxa"/>
            <w:vAlign w:val="bottom"/>
          </w:tcPr>
          <w:p>
            <w:pPr>
              <w:jc w:val="right"/>
              <w:ind w:right="319"/>
              <w:spacing w:after="0"/>
              <w:rPr>
                <w:sz w:val="20"/>
                <w:szCs w:val="20"/>
                <w:color w:val="auto"/>
              </w:rPr>
            </w:pPr>
            <w:r>
              <w:rPr>
                <w:rFonts w:ascii="Arial" w:cs="Arial" w:eastAsia="Arial" w:hAnsi="Arial"/>
                <w:sz w:val="16"/>
                <w:szCs w:val="16"/>
                <w:b w:val="1"/>
                <w:bCs w:val="1"/>
                <w:color w:val="454545"/>
              </w:rPr>
              <w:t>December 31, 2025</w:t>
            </w:r>
          </w:p>
        </w:tc>
        <w:tc>
          <w:tcPr>
            <w:tcW w:w="340" w:type="dxa"/>
            <w:vAlign w:val="bottom"/>
          </w:tcPr>
          <w:p>
            <w:pPr>
              <w:spacing w:after="0"/>
              <w:rPr>
                <w:sz w:val="19"/>
                <w:szCs w:val="19"/>
                <w:color w:val="auto"/>
              </w:rPr>
            </w:pPr>
          </w:p>
        </w:tc>
        <w:tc>
          <w:tcPr>
            <w:tcW w:w="1980" w:type="dxa"/>
            <w:vAlign w:val="bottom"/>
          </w:tcPr>
          <w:p>
            <w:pPr>
              <w:jc w:val="right"/>
              <w:ind w:right="33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6640" w:type="dxa"/>
            <w:vAlign w:val="bottom"/>
            <w:tcBorders>
              <w:bottom w:val="single" w:sz="8" w:color="6022A6"/>
            </w:tcBorders>
          </w:tcPr>
          <w:p>
            <w:pPr>
              <w:spacing w:after="0" w:line="20" w:lineRule="exact"/>
              <w:rPr>
                <w:sz w:val="1"/>
                <w:szCs w:val="1"/>
                <w:color w:val="auto"/>
              </w:rPr>
            </w:pPr>
          </w:p>
        </w:tc>
        <w:tc>
          <w:tcPr>
            <w:tcW w:w="280" w:type="dxa"/>
            <w:vAlign w:val="bottom"/>
            <w:tcBorders>
              <w:bottom w:val="single" w:sz="8" w:color="6022A6"/>
            </w:tcBorders>
          </w:tcPr>
          <w:p>
            <w:pPr>
              <w:spacing w:after="0" w:line="20" w:lineRule="exact"/>
              <w:rPr>
                <w:sz w:val="1"/>
                <w:szCs w:val="1"/>
                <w:color w:val="auto"/>
              </w:rPr>
            </w:pPr>
          </w:p>
        </w:tc>
        <w:tc>
          <w:tcPr>
            <w:tcW w:w="2340" w:type="dxa"/>
            <w:vAlign w:val="bottom"/>
            <w:tcBorders>
              <w:bottom w:val="single" w:sz="8" w:color="6022A6"/>
            </w:tcBorders>
            <w:gridSpan w:val="2"/>
          </w:tcPr>
          <w:p>
            <w:pPr>
              <w:spacing w:after="0" w:line="20" w:lineRule="exact"/>
              <w:rPr>
                <w:sz w:val="1"/>
                <w:szCs w:val="1"/>
                <w:color w:val="auto"/>
              </w:rPr>
            </w:pPr>
          </w:p>
        </w:tc>
        <w:tc>
          <w:tcPr>
            <w:tcW w:w="1980" w:type="dxa"/>
            <w:vAlign w:val="bottom"/>
            <w:tcBorders>
              <w:bottom w:val="single" w:sz="8" w:color="6022A6"/>
            </w:tcBorders>
          </w:tcPr>
          <w:p>
            <w:pPr>
              <w:spacing w:after="0" w:line="20" w:lineRule="exact"/>
              <w:rPr>
                <w:sz w:val="1"/>
                <w:szCs w:val="1"/>
                <w:color w:val="auto"/>
              </w:rPr>
            </w:pPr>
          </w:p>
        </w:tc>
      </w:tr>
      <w:tr>
        <w:trPr>
          <w:trHeight w:val="230"/>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5.600% senior notes due November 15, 2025</w:t>
            </w:r>
          </w:p>
        </w:tc>
        <w:tc>
          <w:tcPr>
            <w:tcW w:w="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2340" w:type="dxa"/>
            <w:vAlign w:val="bottom"/>
            <w:tcBorders>
              <w:bottom w:val="single" w:sz="8" w:color="E4E4E4"/>
            </w:tcBorders>
            <w:gridSpan w:val="2"/>
            <w:shd w:val="clear" w:color="auto" w:fill="E4E4E4"/>
          </w:tcPr>
          <w:p>
            <w:pPr>
              <w:jc w:val="right"/>
              <w:ind w:right="119"/>
              <w:spacing w:after="0"/>
              <w:rPr>
                <w:sz w:val="20"/>
                <w:szCs w:val="20"/>
                <w:color w:val="auto"/>
              </w:rPr>
            </w:pPr>
            <w:r>
              <w:rPr>
                <w:rFonts w:ascii="Arial" w:cs="Arial" w:eastAsia="Arial" w:hAnsi="Arial"/>
                <w:sz w:val="16"/>
                <w:szCs w:val="16"/>
                <w:color w:val="auto"/>
              </w:rPr>
              <w:t>— $</w:t>
            </w: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5.650% senior notes due November 15, 2027</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1,750</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4.150% senior notes due December 15, 2028</w:t>
            </w:r>
          </w:p>
        </w:tc>
        <w:tc>
          <w:tcPr>
            <w:tcW w:w="280" w:type="dxa"/>
            <w:vAlign w:val="bottom"/>
            <w:tcBorders>
              <w:bottom w:val="single" w:sz="8" w:color="E4E4E4"/>
            </w:tcBorders>
            <w:shd w:val="clear" w:color="auto" w:fill="E4E4E4"/>
          </w:tcPr>
          <w:p>
            <w:pPr>
              <w:spacing w:after="0"/>
              <w:rPr>
                <w:sz w:val="20"/>
                <w:szCs w:val="20"/>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4.800% senior notes due August 14, 2029</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5.857% senior notes due March 15, 2030</w:t>
            </w:r>
          </w:p>
        </w:tc>
        <w:tc>
          <w:tcPr>
            <w:tcW w:w="280" w:type="dxa"/>
            <w:vAlign w:val="bottom"/>
            <w:tcBorders>
              <w:bottom w:val="single" w:sz="8" w:color="E4E4E4"/>
            </w:tcBorders>
            <w:shd w:val="clear" w:color="auto" w:fill="E4E4E4"/>
          </w:tcPr>
          <w:p>
            <w:pPr>
              <w:spacing w:after="0"/>
              <w:rPr>
                <w:sz w:val="20"/>
                <w:szCs w:val="20"/>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1,250</w:t>
            </w:r>
          </w:p>
        </w:tc>
      </w:tr>
      <w:tr>
        <w:trPr>
          <w:trHeight w:val="227"/>
        </w:trPr>
        <w:tc>
          <w:tcPr>
            <w:tcW w:w="6640" w:type="dxa"/>
            <w:vAlign w:val="bottom"/>
          </w:tcPr>
          <w:p>
            <w:pPr>
              <w:ind w:left="20"/>
              <w:spacing w:after="0"/>
              <w:rPr>
                <w:sz w:val="20"/>
                <w:szCs w:val="20"/>
                <w:color w:val="auto"/>
              </w:rPr>
            </w:pPr>
            <w:r>
              <w:rPr>
                <w:rFonts w:ascii="Arial" w:cs="Arial" w:eastAsia="Arial" w:hAnsi="Arial"/>
                <w:sz w:val="16"/>
                <w:szCs w:val="16"/>
                <w:color w:val="auto"/>
              </w:rPr>
              <w:t>4.800% senior notes due January 15, 2031</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650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5.905% senior notes due November 22, 2032</w:t>
            </w:r>
          </w:p>
        </w:tc>
        <w:tc>
          <w:tcPr>
            <w:tcW w:w="280" w:type="dxa"/>
            <w:vAlign w:val="bottom"/>
            <w:tcBorders>
              <w:bottom w:val="single" w:sz="8" w:color="E4E4E4"/>
            </w:tcBorders>
            <w:shd w:val="clear" w:color="auto" w:fill="E4E4E4"/>
          </w:tcPr>
          <w:p>
            <w:pPr>
              <w:spacing w:after="0"/>
              <w:rPr>
                <w:sz w:val="20"/>
                <w:szCs w:val="20"/>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5.500% senior notes due June 15, 2035</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850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6"/>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4.950% senior notes due December 15, 2035</w:t>
            </w:r>
          </w:p>
        </w:tc>
        <w:tc>
          <w:tcPr>
            <w:tcW w:w="280" w:type="dxa"/>
            <w:vAlign w:val="bottom"/>
            <w:tcBorders>
              <w:bottom w:val="single" w:sz="8" w:color="E4E4E4"/>
            </w:tcBorders>
            <w:shd w:val="clear" w:color="auto" w:fill="E4E4E4"/>
          </w:tcPr>
          <w:p>
            <w:pPr>
              <w:spacing w:after="0"/>
              <w:rPr>
                <w:sz w:val="20"/>
                <w:szCs w:val="20"/>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6.377% senior notes due November 22, 2052</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1,000</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1,000</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37"/>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Floating rate Term Loan Facility due January 2, 2026</w:t>
            </w:r>
          </w:p>
        </w:tc>
        <w:tc>
          <w:tcPr>
            <w:tcW w:w="280" w:type="dxa"/>
            <w:vAlign w:val="bottom"/>
            <w:tcBorders>
              <w:bottom w:val="single" w:sz="8" w:color="E4E4E4"/>
            </w:tcBorders>
            <w:shd w:val="clear" w:color="auto" w:fill="E4E4E4"/>
          </w:tcPr>
          <w:p>
            <w:pPr>
              <w:spacing w:after="0"/>
              <w:rPr>
                <w:sz w:val="20"/>
                <w:szCs w:val="20"/>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500</w:t>
            </w:r>
          </w:p>
        </w:tc>
        <w:tc>
          <w:tcPr>
            <w:tcW w:w="340" w:type="dxa"/>
            <w:vAlign w:val="bottom"/>
            <w:tcBorders>
              <w:bottom w:val="single" w:sz="8" w:color="E4E4E4"/>
            </w:tcBorders>
            <w:shd w:val="clear" w:color="auto" w:fill="E4E4E4"/>
          </w:tcPr>
          <w:p>
            <w:pPr>
              <w:spacing w:after="0"/>
              <w:rPr>
                <w:sz w:val="20"/>
                <w:szCs w:val="20"/>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750</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24</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9"/>
        </w:trPr>
        <w:tc>
          <w:tcPr>
            <w:tcW w:w="6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5"/>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principal debt issued</w:t>
            </w:r>
          </w:p>
        </w:tc>
        <w:tc>
          <w:tcPr>
            <w:tcW w:w="280" w:type="dxa"/>
            <w:vAlign w:val="bottom"/>
            <w:tcBorders>
              <w:bottom w:val="single" w:sz="8" w:color="E4E4E4"/>
            </w:tcBorders>
            <w:shd w:val="clear" w:color="auto" w:fill="E4E4E4"/>
          </w:tcPr>
          <w:p>
            <w:pPr>
              <w:spacing w:after="0"/>
              <w:rPr>
                <w:sz w:val="21"/>
                <w:szCs w:val="21"/>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10,024</w:t>
            </w:r>
          </w:p>
        </w:tc>
        <w:tc>
          <w:tcPr>
            <w:tcW w:w="340" w:type="dxa"/>
            <w:vAlign w:val="bottom"/>
            <w:tcBorders>
              <w:bottom w:val="single" w:sz="8" w:color="E4E4E4"/>
            </w:tcBorders>
            <w:shd w:val="clear" w:color="auto" w:fill="E4E4E4"/>
          </w:tcPr>
          <w:p>
            <w:pPr>
              <w:spacing w:after="0"/>
              <w:rPr>
                <w:sz w:val="21"/>
                <w:szCs w:val="21"/>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9,036</w:t>
            </w:r>
          </w:p>
        </w:tc>
      </w:tr>
      <w:tr>
        <w:trPr>
          <w:trHeight w:val="221"/>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Unamortized debt issuance costs and discounts</w:t>
            </w:r>
          </w:p>
        </w:tc>
        <w:tc>
          <w:tcPr>
            <w:tcW w:w="28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34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9"/>
        </w:trPr>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2"/>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 Cumulative basis adjustment for fair value hedges</w:t>
            </w:r>
          </w:p>
        </w:tc>
        <w:tc>
          <w:tcPr>
            <w:tcW w:w="280" w:type="dxa"/>
            <w:vAlign w:val="bottom"/>
            <w:tcBorders>
              <w:bottom w:val="single" w:sz="8" w:color="E4E4E4"/>
            </w:tcBorders>
            <w:shd w:val="clear" w:color="auto" w:fill="E4E4E4"/>
          </w:tcPr>
          <w:p>
            <w:pPr>
              <w:spacing w:after="0"/>
              <w:rPr>
                <w:sz w:val="22"/>
                <w:szCs w:val="22"/>
                <w:color w:val="auto"/>
              </w:rPr>
            </w:pPr>
          </w:p>
        </w:tc>
        <w:tc>
          <w:tcPr>
            <w:tcW w:w="2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340" w:type="dxa"/>
            <w:vAlign w:val="bottom"/>
            <w:tcBorders>
              <w:bottom w:val="single" w:sz="8" w:color="E4E4E4"/>
            </w:tcBorders>
            <w:shd w:val="clear" w:color="auto" w:fill="E4E4E4"/>
          </w:tcPr>
          <w:p>
            <w:pPr>
              <w:spacing w:after="0"/>
              <w:rPr>
                <w:sz w:val="22"/>
                <w:szCs w:val="22"/>
                <w:color w:val="auto"/>
              </w:rPr>
            </w:pPr>
          </w:p>
        </w:tc>
        <w:tc>
          <w:tcPr>
            <w:tcW w:w="1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r>
      <w:tr>
        <w:trPr>
          <w:trHeight w:val="229"/>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borrowings</w:t>
            </w:r>
          </w:p>
        </w:tc>
        <w:tc>
          <w:tcPr>
            <w:tcW w:w="28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10,003</w:t>
            </w:r>
          </w:p>
        </w:tc>
        <w:tc>
          <w:tcPr>
            <w:tcW w:w="34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8,951</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66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Less: Short-term borrowings</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E4E4E4"/>
          </w:tcPr>
          <w:p>
            <w:pPr>
              <w:spacing w:after="0"/>
              <w:rPr>
                <w:sz w:val="21"/>
                <w:szCs w:val="21"/>
                <w:color w:val="auto"/>
              </w:rPr>
            </w:pPr>
          </w:p>
        </w:tc>
        <w:tc>
          <w:tcPr>
            <w:tcW w:w="2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508</w:t>
            </w:r>
          </w:p>
        </w:tc>
        <w:tc>
          <w:tcPr>
            <w:tcW w:w="340" w:type="dxa"/>
            <w:vAlign w:val="bottom"/>
            <w:tcBorders>
              <w:bottom w:val="single" w:sz="8" w:color="auto"/>
            </w:tcBorders>
            <w:shd w:val="clear" w:color="auto" w:fill="E4E4E4"/>
          </w:tcPr>
          <w:p>
            <w:pPr>
              <w:spacing w:after="0"/>
              <w:rPr>
                <w:sz w:val="21"/>
                <w:szCs w:val="21"/>
                <w:color w:val="auto"/>
              </w:rPr>
            </w:pPr>
          </w:p>
        </w:tc>
        <w:tc>
          <w:tcPr>
            <w:tcW w:w="19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1,502</w:t>
            </w:r>
          </w:p>
        </w:tc>
      </w:tr>
      <w:tr>
        <w:trPr>
          <w:trHeight w:val="229"/>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Long-term borrowings</w:t>
            </w: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2000" w:type="dxa"/>
            <w:vAlign w:val="bottom"/>
          </w:tcPr>
          <w:p>
            <w:pPr>
              <w:jc w:val="right"/>
              <w:spacing w:after="0"/>
              <w:rPr>
                <w:sz w:val="20"/>
                <w:szCs w:val="20"/>
                <w:color w:val="auto"/>
              </w:rPr>
            </w:pPr>
            <w:r>
              <w:rPr>
                <w:rFonts w:ascii="Arial" w:cs="Arial" w:eastAsia="Arial" w:hAnsi="Arial"/>
                <w:sz w:val="16"/>
                <w:szCs w:val="16"/>
                <w:b w:val="1"/>
                <w:bCs w:val="1"/>
                <w:color w:val="auto"/>
              </w:rPr>
              <w:t>9,495</w:t>
            </w:r>
          </w:p>
        </w:tc>
        <w:tc>
          <w:tcPr>
            <w:tcW w:w="34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7,449</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380" w:hanging="252"/>
        <w:spacing w:after="0" w:line="286" w:lineRule="auto"/>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Short-term borrowings as of December 31, 2025 and 2024 includes $502 million and $1,500 million, respectively, related to the current portion of our long-term borrowings, net of unamortized debt issuance costs and discounts.</w:t>
      </w:r>
    </w:p>
    <w:p>
      <w:pPr>
        <w:spacing w:after="0" w:line="196"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Interest expense associated with long-term debt was $540 million, $580 million, and $616 million for the years ended December 31, 2025, 2024, and 2023, respectively, and is included in Interest and other financial charges – net in the Consolidated Statements of Income.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Scheduled maturities of borrowings, excluding amortization of discounts and debt issuance costs,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454545"/>
              </w:rPr>
              <w:t>2026</w:t>
            </w:r>
          </w:p>
        </w:tc>
        <w:tc>
          <w:tcPr>
            <w:tcW w:w="4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454545"/>
              </w:rPr>
              <w:t>2027</w:t>
            </w:r>
          </w:p>
        </w:tc>
        <w:tc>
          <w:tcPr>
            <w:tcW w:w="52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2028</w:t>
            </w: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454545"/>
              </w:rPr>
              <w:t>2029</w:t>
            </w: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519"/>
              <w:spacing w:after="0"/>
              <w:rPr>
                <w:sz w:val="20"/>
                <w:szCs w:val="20"/>
                <w:color w:val="auto"/>
              </w:rPr>
            </w:pPr>
            <w:r>
              <w:rPr>
                <w:rFonts w:ascii="Arial" w:cs="Arial" w:eastAsia="Arial" w:hAnsi="Arial"/>
                <w:sz w:val="16"/>
                <w:szCs w:val="16"/>
                <w:b w:val="1"/>
                <w:bCs w:val="1"/>
                <w:color w:val="454545"/>
              </w:rPr>
              <w:t>2030</w:t>
            </w:r>
          </w:p>
        </w:tc>
        <w:tc>
          <w:tcPr>
            <w:tcW w:w="300" w:type="dxa"/>
            <w:vAlign w:val="bottom"/>
          </w:tcPr>
          <w:p>
            <w:pPr>
              <w:spacing w:after="0"/>
              <w:rPr>
                <w:sz w:val="19"/>
                <w:szCs w:val="19"/>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454545"/>
              </w:rPr>
              <w:t>Thereafter</w:t>
            </w:r>
          </w:p>
        </w:tc>
        <w:tc>
          <w:tcPr>
            <w:tcW w:w="400" w:type="dxa"/>
            <w:vAlign w:val="bottom"/>
          </w:tcPr>
          <w:p>
            <w:pPr>
              <w:spacing w:after="0"/>
              <w:rPr>
                <w:sz w:val="19"/>
                <w:szCs w:val="19"/>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1100" w:type="dxa"/>
            <w:vAlign w:val="bottom"/>
            <w:tcBorders>
              <w:bottom w:val="single" w:sz="8" w:color="6400A0"/>
            </w:tcBorders>
          </w:tcPr>
          <w:p>
            <w:pPr>
              <w:spacing w:after="0" w:line="20" w:lineRule="exact"/>
              <w:rPr>
                <w:sz w:val="1"/>
                <w:szCs w:val="1"/>
                <w:color w:val="auto"/>
              </w:rPr>
            </w:pPr>
          </w:p>
        </w:tc>
        <w:tc>
          <w:tcPr>
            <w:tcW w:w="44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460" w:type="dxa"/>
            <w:vAlign w:val="bottom"/>
            <w:tcBorders>
              <w:bottom w:val="single" w:sz="8" w:color="6400A0"/>
            </w:tcBorders>
          </w:tcPr>
          <w:p>
            <w:pPr>
              <w:spacing w:after="0" w:line="20" w:lineRule="exact"/>
              <w:rPr>
                <w:sz w:val="1"/>
                <w:szCs w:val="1"/>
                <w:color w:val="auto"/>
              </w:rPr>
            </w:pPr>
          </w:p>
        </w:tc>
        <w:tc>
          <w:tcPr>
            <w:tcW w:w="108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400" w:type="dxa"/>
            <w:vAlign w:val="bottom"/>
            <w:tcBorders>
              <w:bottom w:val="single" w:sz="8" w:color="6400A0"/>
            </w:tcBorders>
          </w:tcPr>
          <w:p>
            <w:pPr>
              <w:spacing w:after="0" w:line="20" w:lineRule="exact"/>
              <w:rPr>
                <w:sz w:val="1"/>
                <w:szCs w:val="1"/>
                <w:color w:val="auto"/>
              </w:rPr>
            </w:pPr>
          </w:p>
        </w:tc>
        <w:tc>
          <w:tcPr>
            <w:tcW w:w="1200" w:type="dxa"/>
            <w:vAlign w:val="bottom"/>
            <w:tcBorders>
              <w:bottom w:val="single" w:sz="8" w:color="6400A0"/>
            </w:tcBorders>
          </w:tcPr>
          <w:p>
            <w:pPr>
              <w:spacing w:after="0" w:line="20" w:lineRule="exact"/>
              <w:rPr>
                <w:sz w:val="1"/>
                <w:szCs w:val="1"/>
                <w:color w:val="auto"/>
              </w:rPr>
            </w:pPr>
          </w:p>
        </w:tc>
        <w:tc>
          <w:tcPr>
            <w:tcW w:w="300" w:type="dxa"/>
            <w:vAlign w:val="bottom"/>
            <w:tcBorders>
              <w:bottom w:val="single" w:sz="8" w:color="6400A0"/>
            </w:tcBorders>
          </w:tcPr>
          <w:p>
            <w:pPr>
              <w:spacing w:after="0" w:line="20" w:lineRule="exact"/>
              <w:rPr>
                <w:sz w:val="1"/>
                <w:szCs w:val="1"/>
                <w:color w:val="auto"/>
              </w:rPr>
            </w:pPr>
          </w:p>
        </w:tc>
        <w:tc>
          <w:tcPr>
            <w:tcW w:w="1320" w:type="dxa"/>
            <w:vAlign w:val="bottom"/>
            <w:tcBorders>
              <w:bottom w:val="single" w:sz="8" w:color="6400A0"/>
            </w:tcBorders>
          </w:tcPr>
          <w:p>
            <w:pPr>
              <w:spacing w:after="0" w:line="20" w:lineRule="exact"/>
              <w:rPr>
                <w:sz w:val="1"/>
                <w:szCs w:val="1"/>
                <w:color w:val="auto"/>
              </w:rPr>
            </w:pPr>
          </w:p>
        </w:tc>
        <w:tc>
          <w:tcPr>
            <w:tcW w:w="400" w:type="dxa"/>
            <w:vAlign w:val="bottom"/>
            <w:tcBorders>
              <w:bottom w:val="single" w:sz="8" w:color="6400A0"/>
            </w:tcBorders>
          </w:tcPr>
          <w:p>
            <w:pPr>
              <w:spacing w:after="0" w:line="20" w:lineRule="exact"/>
              <w:rPr>
                <w:sz w:val="1"/>
                <w:szCs w:val="1"/>
                <w:color w:val="auto"/>
              </w:rPr>
            </w:pPr>
          </w:p>
        </w:tc>
        <w:tc>
          <w:tcPr>
            <w:tcW w:w="1280" w:type="dxa"/>
            <w:vAlign w:val="bottom"/>
            <w:tcBorders>
              <w:bottom w:val="single" w:sz="8" w:color="6400A0"/>
            </w:tcBorders>
          </w:tcPr>
          <w:p>
            <w:pPr>
              <w:spacing w:after="0" w:line="20" w:lineRule="exact"/>
              <w:rPr>
                <w:sz w:val="1"/>
                <w:szCs w:val="1"/>
                <w:color w:val="auto"/>
              </w:rPr>
            </w:pPr>
          </w:p>
        </w:tc>
      </w:tr>
      <w:tr>
        <w:trPr>
          <w:trHeight w:val="230"/>
        </w:trPr>
        <w:tc>
          <w:tcPr>
            <w:tcW w:w="1100" w:type="dxa"/>
            <w:vAlign w:val="bottom"/>
            <w:tcBorders>
              <w:bottom w:val="single" w:sz="8" w:color="E4E4E4"/>
            </w:tcBorders>
            <w:shd w:val="clear" w:color="auto" w:fill="E4E4E4"/>
          </w:tcPr>
          <w:p>
            <w:pPr>
              <w:jc w:val="right"/>
              <w:ind w:right="8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508</w:t>
            </w:r>
          </w:p>
        </w:tc>
        <w:tc>
          <w:tcPr>
            <w:tcW w:w="1080" w:type="dxa"/>
            <w:vAlign w:val="bottom"/>
            <w:tcBorders>
              <w:bottom w:val="single" w:sz="8" w:color="E4E4E4"/>
            </w:tcBorders>
            <w:shd w:val="clear" w:color="auto" w:fill="E4E4E4"/>
          </w:tcPr>
          <w:p>
            <w:pPr>
              <w:jc w:val="right"/>
              <w:ind w:right="8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1,767</w:t>
            </w:r>
          </w:p>
        </w:tc>
        <w:tc>
          <w:tcPr>
            <w:tcW w:w="1140" w:type="dxa"/>
            <w:vAlign w:val="bottom"/>
            <w:tcBorders>
              <w:bottom w:val="single" w:sz="8" w:color="E4E4E4"/>
            </w:tcBorders>
            <w:shd w:val="clear" w:color="auto" w:fill="E4E4E4"/>
          </w:tcPr>
          <w:p>
            <w:pPr>
              <w:jc w:val="right"/>
              <w:ind w:right="9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600</w:t>
            </w:r>
          </w:p>
        </w:tc>
        <w:tc>
          <w:tcPr>
            <w:tcW w:w="1080" w:type="dxa"/>
            <w:vAlign w:val="bottom"/>
            <w:tcBorders>
              <w:bottom w:val="single" w:sz="8" w:color="E4E4E4"/>
            </w:tcBorders>
            <w:shd w:val="clear" w:color="auto" w:fill="E4E4E4"/>
          </w:tcPr>
          <w:p>
            <w:pPr>
              <w:jc w:val="right"/>
              <w:ind w:right="8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1,000</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1,250</w:t>
            </w:r>
          </w:p>
        </w:tc>
        <w:tc>
          <w:tcPr>
            <w:tcW w:w="30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4,900</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10,024</w:t>
            </w:r>
          </w:p>
        </w:tc>
      </w:tr>
      <w:tr>
        <w:trPr>
          <w:trHeight w:val="20"/>
        </w:trPr>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See Note 13, “Financial Instruments and Fair Value Measurements” for further information about borrowings and associated derivatives contracts.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LETTERS OF CREDIT, GUARANTEES, AND OTHER COMMITMENTS.</w:t>
      </w:r>
    </w:p>
    <w:p>
      <w:pPr>
        <w:spacing w:after="0" w:line="235"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As of December 31, 2025 and 2024, the Company had bank guarantees and surety bonds of approximately $1,149 million and $784 million, respectively, related to certain commercial contracts. Additionally, we have issued approximately $22 million and $25 million of guarantees as of December 31, 2025 and 2024, respectively, primarily related to residual value and credit guarantees on equipment sold to third-party finance companies. Our Consolidated Statements of Financial Position reflect a liability of $3 million as of both December 31, 2025 and 2024 related to these guarantees. For credit-related guarantees, we estimate our expected credit losses related to off-balance sheet credit exposure consistent with the method used to estimate the allowance for credit losses on financial assets held at amortized cost.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POSTRETIREMENT BENEFIT PLANS</w:t>
      </w:r>
    </w:p>
    <w:p>
      <w:pPr>
        <w:spacing w:after="0" w:line="257"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In connection with the Spin-Off, on January 1, 2023, GE HealthCare assumed a portion of former GE pension and other postretirement obligations and assets. The pension and other postretirement obligations assumed relate to benefits owed to current GE HealthCare employees, former GE HealthCare employees, and certain GE legacy plan participants. As of January 1, 2023, GE HealthCare established the assumed pension plans as single-employer plans, but continued to participate in legacy GE multiple-employer other postretirement benefit (“OPEB”) plans sponsored by GE. On January 1, 2024, we transitioned from the legacy GE multiple-employer OPEB plans to a GE HealthCare sponsored single-employer OPEB plan. This change did not have an impact on our results of operations or financial position.</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total assets and liabilities for all plans assumed by GE HealthCare on January 1, 2023, are shown in the tables below.</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gridSpan w:val="3"/>
          </w:tcPr>
          <w:p>
            <w:pPr>
              <w:ind w:left="20"/>
              <w:spacing w:after="0"/>
              <w:rPr>
                <w:sz w:val="20"/>
                <w:szCs w:val="20"/>
                <w:color w:val="auto"/>
              </w:rPr>
            </w:pPr>
            <w:r>
              <w:rPr>
                <w:rFonts w:ascii="Arial" w:cs="Arial" w:eastAsia="Arial" w:hAnsi="Arial"/>
                <w:sz w:val="16"/>
                <w:szCs w:val="16"/>
                <w:b w:val="1"/>
                <w:bCs w:val="1"/>
                <w:color w:val="auto"/>
              </w:rPr>
              <w:t>Accumulated Benefit Obligations and Unrecognized Gain</w:t>
            </w:r>
          </w:p>
        </w:tc>
        <w:tc>
          <w:tcPr>
            <w:tcW w:w="2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57"/>
        </w:trPr>
        <w:tc>
          <w:tcPr>
            <w:tcW w:w="4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454545"/>
              </w:rPr>
              <w:t>As of January 1, 2023</w:t>
            </w:r>
          </w:p>
        </w:tc>
        <w:tc>
          <w:tcPr>
            <w:tcW w:w="5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
        </w:trPr>
        <w:tc>
          <w:tcPr>
            <w:tcW w:w="4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2140" w:type="dxa"/>
            <w:vAlign w:val="bottom"/>
            <w:tcBorders>
              <w:bottom w:val="single" w:sz="8" w:color="454545"/>
            </w:tcBorders>
          </w:tcPr>
          <w:p>
            <w:pPr>
              <w:spacing w:after="0" w:line="20" w:lineRule="exact"/>
              <w:rPr>
                <w:sz w:val="1"/>
                <w:szCs w:val="1"/>
                <w:color w:val="auto"/>
              </w:rPr>
            </w:pPr>
          </w:p>
        </w:tc>
        <w:tc>
          <w:tcPr>
            <w:tcW w:w="2260" w:type="dxa"/>
            <w:vAlign w:val="bottom"/>
            <w:tcBorders>
              <w:bottom w:val="single" w:sz="8" w:color="454545"/>
            </w:tcBorders>
            <w:gridSpan w:val="2"/>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50"/>
        </w:trPr>
        <w:tc>
          <w:tcPr>
            <w:tcW w:w="4360" w:type="dxa"/>
            <w:vAlign w:val="bottom"/>
            <w:tcBorders>
              <w:bottom w:val="single" w:sz="8" w:color="6022A6"/>
            </w:tcBorders>
          </w:tcPr>
          <w:p>
            <w:pPr>
              <w:spacing w:after="0"/>
              <w:rPr>
                <w:sz w:val="21"/>
                <w:szCs w:val="21"/>
                <w:color w:val="auto"/>
              </w:rPr>
            </w:pPr>
          </w:p>
        </w:tc>
        <w:tc>
          <w:tcPr>
            <w:tcW w:w="2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214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Defined benefit plans</w:t>
            </w:r>
            <w:r>
              <w:rPr>
                <w:rFonts w:ascii="Arial" w:cs="Arial" w:eastAsia="Arial" w:hAnsi="Arial"/>
                <w:sz w:val="21"/>
                <w:szCs w:val="21"/>
                <w:b w:val="1"/>
                <w:bCs w:val="1"/>
                <w:color w:val="454545"/>
                <w:vertAlign w:val="superscript"/>
              </w:rPr>
              <w:t>(1)</w:t>
            </w:r>
          </w:p>
        </w:tc>
        <w:tc>
          <w:tcPr>
            <w:tcW w:w="2260" w:type="dxa"/>
            <w:vAlign w:val="bottom"/>
            <w:tcBorders>
              <w:bottom w:val="single" w:sz="8" w:color="6022A6"/>
            </w:tcBorders>
            <w:gridSpan w:val="2"/>
          </w:tcPr>
          <w:p>
            <w:pPr>
              <w:ind w:left="40"/>
              <w:spacing w:after="0"/>
              <w:rPr>
                <w:sz w:val="20"/>
                <w:szCs w:val="20"/>
                <w:color w:val="auto"/>
              </w:rPr>
            </w:pPr>
            <w:r>
              <w:rPr>
                <w:rFonts w:ascii="Arial" w:cs="Arial" w:eastAsia="Arial" w:hAnsi="Arial"/>
                <w:sz w:val="16"/>
                <w:szCs w:val="16"/>
                <w:b w:val="1"/>
                <w:bCs w:val="1"/>
                <w:color w:val="454545"/>
                <w:w w:val="98"/>
              </w:rPr>
              <w:t>Other postretirement plans</w:t>
            </w:r>
            <w:r>
              <w:rPr>
                <w:rFonts w:ascii="Arial" w:cs="Arial" w:eastAsia="Arial" w:hAnsi="Arial"/>
                <w:sz w:val="21"/>
                <w:szCs w:val="21"/>
                <w:b w:val="1"/>
                <w:bCs w:val="1"/>
                <w:color w:val="454545"/>
                <w:w w:val="98"/>
                <w:vertAlign w:val="superscript"/>
              </w:rPr>
              <w:t>(2)</w:t>
            </w:r>
          </w:p>
        </w:tc>
        <w:tc>
          <w:tcPr>
            <w:tcW w:w="540" w:type="dxa"/>
            <w:vAlign w:val="bottom"/>
            <w:tcBorders>
              <w:bottom w:val="single" w:sz="8" w:color="6022A6"/>
            </w:tcBorders>
          </w:tcPr>
          <w:p>
            <w:pPr>
              <w:spacing w:after="0"/>
              <w:rPr>
                <w:sz w:val="21"/>
                <w:szCs w:val="21"/>
                <w:color w:val="auto"/>
              </w:rPr>
            </w:pPr>
          </w:p>
        </w:tc>
        <w:tc>
          <w:tcPr>
            <w:tcW w:w="1720" w:type="dxa"/>
            <w:vAlign w:val="bottom"/>
            <w:tcBorders>
              <w:bottom w:val="single" w:sz="8" w:color="6022A6"/>
            </w:tcBorders>
          </w:tcPr>
          <w:p>
            <w:pPr>
              <w:jc w:val="right"/>
              <w:ind w:right="859"/>
              <w:spacing w:after="0"/>
              <w:rPr>
                <w:sz w:val="20"/>
                <w:szCs w:val="20"/>
                <w:color w:val="auto"/>
              </w:rPr>
            </w:pPr>
            <w:r>
              <w:rPr>
                <w:rFonts w:ascii="Arial" w:cs="Arial" w:eastAsia="Arial" w:hAnsi="Arial"/>
                <w:sz w:val="16"/>
                <w:szCs w:val="16"/>
                <w:b w:val="1"/>
                <w:bCs w:val="1"/>
                <w:color w:val="454545"/>
              </w:rPr>
              <w:t>Total</w:t>
            </w:r>
          </w:p>
        </w:tc>
      </w:tr>
      <w:tr>
        <w:trPr>
          <w:trHeight w:val="230"/>
        </w:trPr>
        <w:tc>
          <w:tcPr>
            <w:tcW w:w="43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Accumulated benefit obligations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21,696</w:t>
            </w:r>
          </w:p>
        </w:tc>
        <w:tc>
          <w:tcPr>
            <w:tcW w:w="2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22,906</w:t>
            </w:r>
          </w:p>
        </w:tc>
      </w:tr>
      <w:tr>
        <w:trPr>
          <w:trHeight w:val="227"/>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Unrecognized gain recorded in AOCI</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1,258</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1,223</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2,481</w:t>
            </w:r>
          </w:p>
        </w:tc>
      </w:tr>
      <w:tr>
        <w:trPr>
          <w:trHeight w:val="29"/>
        </w:trPr>
        <w:tc>
          <w:tcPr>
            <w:tcW w:w="4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580"/>
        </w:trPr>
        <w:tc>
          <w:tcPr>
            <w:tcW w:w="4380" w:type="dxa"/>
            <w:vAlign w:val="bottom"/>
            <w:gridSpan w:val="2"/>
          </w:tcPr>
          <w:p>
            <w:pPr>
              <w:ind w:left="20"/>
              <w:spacing w:after="0"/>
              <w:rPr>
                <w:sz w:val="20"/>
                <w:szCs w:val="20"/>
                <w:color w:val="auto"/>
              </w:rPr>
            </w:pPr>
            <w:r>
              <w:rPr>
                <w:rFonts w:ascii="Arial" w:cs="Arial" w:eastAsia="Arial" w:hAnsi="Arial"/>
                <w:sz w:val="16"/>
                <w:szCs w:val="16"/>
                <w:b w:val="1"/>
                <w:bCs w:val="1"/>
                <w:color w:val="auto"/>
              </w:rPr>
              <w:t>Net Benefit Liability</w:t>
            </w:r>
          </w:p>
        </w:tc>
        <w:tc>
          <w:tcPr>
            <w:tcW w:w="2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7"/>
        </w:trPr>
        <w:tc>
          <w:tcPr>
            <w:tcW w:w="4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60" w:type="dxa"/>
            <w:vAlign w:val="bottom"/>
          </w:tcPr>
          <w:p>
            <w:pPr>
              <w:jc w:val="right"/>
              <w:ind w:right="259"/>
              <w:spacing w:after="0"/>
              <w:rPr>
                <w:sz w:val="20"/>
                <w:szCs w:val="20"/>
                <w:color w:val="auto"/>
              </w:rPr>
            </w:pPr>
            <w:r>
              <w:rPr>
                <w:rFonts w:ascii="Arial" w:cs="Arial" w:eastAsia="Arial" w:hAnsi="Arial"/>
                <w:sz w:val="16"/>
                <w:szCs w:val="16"/>
                <w:b w:val="1"/>
                <w:bCs w:val="1"/>
                <w:color w:val="454545"/>
              </w:rPr>
              <w:t>As of January 1, 2023</w:t>
            </w:r>
          </w:p>
        </w:tc>
        <w:tc>
          <w:tcPr>
            <w:tcW w:w="54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
        </w:trPr>
        <w:tc>
          <w:tcPr>
            <w:tcW w:w="4360" w:type="dxa"/>
            <w:vAlign w:val="bottom"/>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2140" w:type="dxa"/>
            <w:vAlign w:val="bottom"/>
            <w:tcBorders>
              <w:bottom w:val="single" w:sz="8" w:color="454545"/>
            </w:tcBorders>
          </w:tcPr>
          <w:p>
            <w:pPr>
              <w:spacing w:after="0" w:line="20" w:lineRule="exact"/>
              <w:rPr>
                <w:sz w:val="1"/>
                <w:szCs w:val="1"/>
                <w:color w:val="auto"/>
              </w:rPr>
            </w:pPr>
          </w:p>
        </w:tc>
        <w:tc>
          <w:tcPr>
            <w:tcW w:w="2260" w:type="dxa"/>
            <w:vAlign w:val="bottom"/>
            <w:tcBorders>
              <w:bottom w:val="single" w:sz="8" w:color="454545"/>
            </w:tcBorders>
            <w:gridSpan w:val="2"/>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50"/>
        </w:trPr>
        <w:tc>
          <w:tcPr>
            <w:tcW w:w="4360" w:type="dxa"/>
            <w:vAlign w:val="bottom"/>
            <w:tcBorders>
              <w:bottom w:val="single" w:sz="8" w:color="6022A6"/>
            </w:tcBorders>
          </w:tcPr>
          <w:p>
            <w:pPr>
              <w:spacing w:after="0"/>
              <w:rPr>
                <w:sz w:val="21"/>
                <w:szCs w:val="21"/>
                <w:color w:val="auto"/>
              </w:rPr>
            </w:pPr>
          </w:p>
        </w:tc>
        <w:tc>
          <w:tcPr>
            <w:tcW w:w="2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214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Defined benefit plans</w:t>
            </w:r>
            <w:r>
              <w:rPr>
                <w:rFonts w:ascii="Arial" w:cs="Arial" w:eastAsia="Arial" w:hAnsi="Arial"/>
                <w:sz w:val="21"/>
                <w:szCs w:val="21"/>
                <w:b w:val="1"/>
                <w:bCs w:val="1"/>
                <w:color w:val="454545"/>
                <w:vertAlign w:val="superscript"/>
              </w:rPr>
              <w:t>(1)</w:t>
            </w:r>
          </w:p>
        </w:tc>
        <w:tc>
          <w:tcPr>
            <w:tcW w:w="2260" w:type="dxa"/>
            <w:vAlign w:val="bottom"/>
            <w:tcBorders>
              <w:bottom w:val="single" w:sz="8" w:color="6022A6"/>
            </w:tcBorders>
            <w:gridSpan w:val="2"/>
          </w:tcPr>
          <w:p>
            <w:pPr>
              <w:ind w:left="40"/>
              <w:spacing w:after="0"/>
              <w:rPr>
                <w:sz w:val="20"/>
                <w:szCs w:val="20"/>
                <w:color w:val="auto"/>
              </w:rPr>
            </w:pPr>
            <w:r>
              <w:rPr>
                <w:rFonts w:ascii="Arial" w:cs="Arial" w:eastAsia="Arial" w:hAnsi="Arial"/>
                <w:sz w:val="16"/>
                <w:szCs w:val="16"/>
                <w:b w:val="1"/>
                <w:bCs w:val="1"/>
                <w:color w:val="454545"/>
                <w:w w:val="98"/>
              </w:rPr>
              <w:t>Other postretirement plans</w:t>
            </w:r>
            <w:r>
              <w:rPr>
                <w:rFonts w:ascii="Arial" w:cs="Arial" w:eastAsia="Arial" w:hAnsi="Arial"/>
                <w:sz w:val="21"/>
                <w:szCs w:val="21"/>
                <w:b w:val="1"/>
                <w:bCs w:val="1"/>
                <w:color w:val="454545"/>
                <w:w w:val="98"/>
                <w:vertAlign w:val="superscript"/>
              </w:rPr>
              <w:t>(2)</w:t>
            </w:r>
          </w:p>
        </w:tc>
        <w:tc>
          <w:tcPr>
            <w:tcW w:w="540" w:type="dxa"/>
            <w:vAlign w:val="bottom"/>
            <w:tcBorders>
              <w:bottom w:val="single" w:sz="8" w:color="6022A6"/>
            </w:tcBorders>
          </w:tcPr>
          <w:p>
            <w:pPr>
              <w:spacing w:after="0"/>
              <w:rPr>
                <w:sz w:val="21"/>
                <w:szCs w:val="21"/>
                <w:color w:val="auto"/>
              </w:rPr>
            </w:pPr>
          </w:p>
        </w:tc>
        <w:tc>
          <w:tcPr>
            <w:tcW w:w="1720" w:type="dxa"/>
            <w:vAlign w:val="bottom"/>
            <w:tcBorders>
              <w:bottom w:val="single" w:sz="8" w:color="6022A6"/>
            </w:tcBorders>
          </w:tcPr>
          <w:p>
            <w:pPr>
              <w:jc w:val="right"/>
              <w:ind w:right="859"/>
              <w:spacing w:after="0"/>
              <w:rPr>
                <w:sz w:val="20"/>
                <w:szCs w:val="20"/>
                <w:color w:val="auto"/>
              </w:rPr>
            </w:pPr>
            <w:r>
              <w:rPr>
                <w:rFonts w:ascii="Arial" w:cs="Arial" w:eastAsia="Arial" w:hAnsi="Arial"/>
                <w:sz w:val="16"/>
                <w:szCs w:val="16"/>
                <w:b w:val="1"/>
                <w:bCs w:val="1"/>
                <w:color w:val="454545"/>
              </w:rPr>
              <w:t>Total</w:t>
            </w:r>
          </w:p>
        </w:tc>
      </w:tr>
      <w:tr>
        <w:trPr>
          <w:trHeight w:val="230"/>
        </w:trPr>
        <w:tc>
          <w:tcPr>
            <w:tcW w:w="43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Projected benefit obligations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2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21,743</w:t>
            </w:r>
          </w:p>
        </w:tc>
        <w:tc>
          <w:tcPr>
            <w:tcW w:w="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22,953</w:t>
            </w:r>
          </w:p>
        </w:tc>
      </w:tr>
      <w:tr>
        <w:trPr>
          <w:trHeight w:val="228"/>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Fair value of plan assets</w:t>
            </w:r>
          </w:p>
        </w:tc>
        <w:tc>
          <w:tcPr>
            <w:tcW w:w="20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18,908</w:t>
            </w:r>
          </w:p>
        </w:tc>
        <w:tc>
          <w:tcPr>
            <w:tcW w:w="20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18,908</w:t>
            </w:r>
          </w:p>
        </w:tc>
      </w:tr>
      <w:tr>
        <w:trPr>
          <w:trHeight w:val="29"/>
        </w:trPr>
        <w:tc>
          <w:tcPr>
            <w:tcW w:w="4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43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Net liability</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2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2,835</w:t>
            </w:r>
          </w:p>
        </w:tc>
        <w:tc>
          <w:tcPr>
            <w:tcW w:w="2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2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1,210</w:t>
            </w:r>
          </w:p>
        </w:tc>
        <w:tc>
          <w:tcPr>
            <w:tcW w:w="540" w:type="dxa"/>
            <w:vAlign w:val="bottom"/>
            <w:tcBorders>
              <w:bottom w:val="single" w:sz="8" w:color="E4E4E4"/>
            </w:tcBorders>
            <w:shd w:val="clear" w:color="auto" w:fill="E4E4E4"/>
          </w:tcPr>
          <w:p>
            <w:pPr>
              <w:jc w:val="right"/>
              <w:ind w:right="33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4,045</w:t>
            </w:r>
          </w:p>
        </w:tc>
      </w:tr>
      <w:tr>
        <w:trPr>
          <w:trHeight w:val="20"/>
        </w:trPr>
        <w:tc>
          <w:tcPr>
            <w:tcW w:w="43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Defined benefit plans are comprised of both U.S. Plans and International Plans, as described below.</w:t>
      </w:r>
    </w:p>
    <w:p>
      <w:pPr>
        <w:spacing w:after="0" w:line="30" w:lineRule="exact"/>
        <w:rPr>
          <w:rFonts w:ascii="Arial" w:cs="Arial" w:eastAsia="Arial" w:hAnsi="Arial"/>
          <w:sz w:val="16"/>
          <w:szCs w:val="16"/>
          <w:color w:val="auto"/>
        </w:rPr>
      </w:pP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OPEB Plans are comprised of benefits, as described below.</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DESCRIPTION OF OUR PLANS.</w:t>
      </w:r>
    </w:p>
    <w:p>
      <w:pPr>
        <w:spacing w:after="0" w:line="24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We disclose in the following tables postretirement plans with assets or obligations that exceed $50 million. We use a December 31st measurement date for these plans and all tables presented below are for the years ended December 31st.</w:t>
      </w:r>
    </w:p>
    <w:p>
      <w:pPr>
        <w:spacing w:after="0" w:line="168"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U.S. Pension Plans are comprised of the obligations transferred to GE HealthCare from GE in connection with the Spin-Off and obligations that existed prior to the Spin-Off. The largest plans include the GE HealthCare Pension Plan and the GE HealthCare Supplemental Pension Plan, which provides supplementary benefits to higher-level, longer-service U.S. employees. The GE HealthCare Pension Plan and the GE HealthCare Supplemental Pension Plan have been closed to new participants since 2012. All remaining service accruals for the GE HealthCare Pension Plan were frozen effective December 31, 2024. Benefits for participants of the GE HealthCare Supplemental Pension Plan who became executives before 2011 were frozen effective January 1, 2021, and thereafter these employees accrue a benefit which is paid out in ten annual installments upon retirement. The GE HealthCare Pension Plan has a projected benefit obligation of $15,519 million, plan assets of $13,988 million, and is 90% funded per U.S. GAAP as of December 31, 2025. The GE HealthCare Supplemental Pension plan has a projected benefit obligation of $1,672 million as of December 31, 2025, and the benefits are paid to eligible participants directly by the Company as described further in “Funding” below.</w:t>
      </w:r>
    </w:p>
    <w:p>
      <w:pPr>
        <w:spacing w:after="0" w:line="21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International Pension Plans include all other plans that cover non-U.S. participants. These plans include obligations that existed prior to the Spin-Off and obligations transferred to GE HealthCare from GE in connection with the Spin-Off. In certain countries, benefit accruals have ceased and/or have been closed to new hires as of various dates.</w:t>
      </w:r>
    </w:p>
    <w:p>
      <w:pPr>
        <w:spacing w:after="0" w:line="21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OPEB Plans include unfunded postretirement health and life insurance defined benefit obligations to U.S. participants. GE HealthCare assumed the obligations associated with these plans in connection with the Spin-Off. Participants share in the cost of the healthcare and life insurance benefits. With the exception of production employees, subsidized benefits are generally only available to closed groups of employees and retirees.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Funding</w:t>
      </w:r>
    </w:p>
    <w:p>
      <w:pPr>
        <w:spacing w:after="0" w:line="19" w:lineRule="exact"/>
        <w:rPr>
          <w:sz w:val="20"/>
          <w:szCs w:val="20"/>
          <w:color w:val="auto"/>
        </w:rPr>
      </w:pPr>
    </w:p>
    <w:p>
      <w:pPr>
        <w:ind w:right="160"/>
        <w:spacing w:after="0" w:line="283" w:lineRule="auto"/>
        <w:rPr>
          <w:sz w:val="20"/>
          <w:szCs w:val="20"/>
          <w:color w:val="auto"/>
        </w:rPr>
      </w:pPr>
      <w:r>
        <w:rPr>
          <w:rFonts w:ascii="Arial" w:cs="Arial" w:eastAsia="Arial" w:hAnsi="Arial"/>
          <w:sz w:val="16"/>
          <w:szCs w:val="16"/>
          <w:color w:val="auto"/>
        </w:rPr>
        <w:t>The Company funds annually, at a minimum, the statutorily required minimum amount for our qualified plans. Non-qualified plans are unfunded and we pay benefits from our cash on hand. In 2026, the Company expects to make total cash contributions of approximately $350 million to these plans.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Plan Funded Status</w:t>
            </w:r>
          </w:p>
        </w:tc>
        <w:tc>
          <w:tcPr>
            <w:tcW w:w="240" w:type="dxa"/>
            <w:vAlign w:val="bottom"/>
          </w:tcPr>
          <w:p>
            <w:pPr>
              <w:spacing w:after="0"/>
              <w:rPr>
                <w:sz w:val="19"/>
                <w:szCs w:val="19"/>
                <w:color w:val="auto"/>
              </w:rPr>
            </w:pPr>
          </w:p>
        </w:tc>
        <w:tc>
          <w:tcPr>
            <w:tcW w:w="2100" w:type="dxa"/>
            <w:vAlign w:val="bottom"/>
            <w:gridSpan w:val="4"/>
          </w:tcPr>
          <w:p>
            <w:pPr>
              <w:ind w:left="500"/>
              <w:spacing w:after="0"/>
              <w:rPr>
                <w:sz w:val="20"/>
                <w:szCs w:val="20"/>
                <w:color w:val="auto"/>
              </w:rPr>
            </w:pPr>
            <w:r>
              <w:rPr>
                <w:rFonts w:ascii="Arial" w:cs="Arial" w:eastAsia="Arial" w:hAnsi="Arial"/>
                <w:sz w:val="16"/>
                <w:szCs w:val="16"/>
                <w:b w:val="1"/>
                <w:bCs w:val="1"/>
                <w:color w:val="454545"/>
              </w:rPr>
              <w:t>U.S. Plans</w:t>
            </w:r>
          </w:p>
        </w:tc>
        <w:tc>
          <w:tcPr>
            <w:tcW w:w="260" w:type="dxa"/>
            <w:vAlign w:val="bottom"/>
          </w:tcPr>
          <w:p>
            <w:pPr>
              <w:spacing w:after="0"/>
              <w:rPr>
                <w:sz w:val="19"/>
                <w:szCs w:val="19"/>
                <w:color w:val="auto"/>
              </w:rPr>
            </w:pPr>
          </w:p>
        </w:tc>
        <w:tc>
          <w:tcPr>
            <w:tcW w:w="2100" w:type="dxa"/>
            <w:vAlign w:val="bottom"/>
            <w:gridSpan w:val="4"/>
          </w:tcPr>
          <w:p>
            <w:pPr>
              <w:ind w:left="160"/>
              <w:spacing w:after="0"/>
              <w:rPr>
                <w:sz w:val="20"/>
                <w:szCs w:val="20"/>
                <w:color w:val="auto"/>
              </w:rPr>
            </w:pPr>
            <w:r>
              <w:rPr>
                <w:rFonts w:ascii="Arial" w:cs="Arial" w:eastAsia="Arial" w:hAnsi="Arial"/>
                <w:sz w:val="16"/>
                <w:szCs w:val="16"/>
                <w:b w:val="1"/>
                <w:bCs w:val="1"/>
                <w:color w:val="454545"/>
              </w:rPr>
              <w:t>International Plans</w:t>
            </w:r>
          </w:p>
        </w:tc>
        <w:tc>
          <w:tcPr>
            <w:tcW w:w="240" w:type="dxa"/>
            <w:vAlign w:val="bottom"/>
          </w:tcPr>
          <w:p>
            <w:pPr>
              <w:spacing w:after="0"/>
              <w:rPr>
                <w:sz w:val="19"/>
                <w:szCs w:val="19"/>
                <w:color w:val="auto"/>
              </w:rPr>
            </w:pPr>
          </w:p>
        </w:tc>
        <w:tc>
          <w:tcPr>
            <w:tcW w:w="202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42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r>
      <w:tr>
        <w:trPr>
          <w:trHeight w:val="229"/>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r>
      <w:tr>
        <w:trPr>
          <w:trHeight w:val="21"/>
        </w:trPr>
        <w:tc>
          <w:tcPr>
            <w:tcW w:w="42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r>
      <w:tr>
        <w:trPr>
          <w:trHeight w:val="230"/>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Change in projected benefit obligations</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r>
      <w:tr>
        <w:trPr>
          <w:trHeight w:val="236"/>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18,241</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19,363</w:t>
            </w:r>
          </w:p>
        </w:tc>
        <w:tc>
          <w:tcPr>
            <w:tcW w:w="8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2,957</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3,385</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1,016</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1,133</w:t>
            </w:r>
          </w:p>
        </w:tc>
      </w:tr>
      <w:tr>
        <w:trPr>
          <w:trHeight w:val="21"/>
        </w:trPr>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Service cost</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r>
      <w:tr>
        <w:trPr>
          <w:trHeight w:val="227"/>
        </w:trPr>
        <w:tc>
          <w:tcPr>
            <w:tcW w:w="428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Participant contributions</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Actuarial loss (gain) –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Benefits paid</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(1,266)</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(1,332)</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(136)</w:t>
            </w: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(146)</w:t>
            </w:r>
          </w:p>
        </w:tc>
      </w:tr>
      <w:tr>
        <w:trPr>
          <w:trHeight w:val="227"/>
        </w:trPr>
        <w:tc>
          <w:tcPr>
            <w:tcW w:w="4280" w:type="dxa"/>
            <w:vAlign w:val="bottom"/>
          </w:tcPr>
          <w:p>
            <w:pPr>
              <w:ind w:left="20"/>
              <w:spacing w:after="0"/>
              <w:rPr>
                <w:sz w:val="20"/>
                <w:szCs w:val="20"/>
                <w:color w:val="auto"/>
              </w:rPr>
            </w:pPr>
            <w:r>
              <w:rPr>
                <w:rFonts w:ascii="Arial" w:cs="Arial" w:eastAsia="Arial" w:hAnsi="Arial"/>
                <w:sz w:val="16"/>
                <w:szCs w:val="16"/>
                <w:color w:val="auto"/>
              </w:rPr>
              <w:t>Settlements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Special termination cost</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Acquisitions/Divestitures/Mergers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2"/>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Exchange rate adjustments</w:t>
            </w:r>
          </w:p>
        </w:tc>
        <w:tc>
          <w:tcPr>
            <w:tcW w:w="24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9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252</w:t>
            </w:r>
          </w:p>
        </w:tc>
        <w:tc>
          <w:tcPr>
            <w:tcW w:w="24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w:t>
            </w:r>
          </w:p>
        </w:tc>
        <w:tc>
          <w:tcPr>
            <w:tcW w:w="8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18,569</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18,241</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3,148</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2,957</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908</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1,016</w:t>
            </w: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spacing w:after="0"/>
              <w:rPr>
                <w:sz w:val="20"/>
                <w:szCs w:val="20"/>
                <w:color w:val="auto"/>
              </w:rPr>
            </w:pPr>
          </w:p>
        </w:tc>
      </w:tr>
      <w:tr>
        <w:trPr>
          <w:trHeight w:val="235"/>
        </w:trPr>
        <w:tc>
          <w:tcPr>
            <w:tcW w:w="428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14,378</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15,485</w:t>
            </w:r>
          </w:p>
        </w:tc>
        <w:tc>
          <w:tcPr>
            <w:tcW w:w="8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3,276</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3,733</w:t>
            </w:r>
          </w:p>
        </w:tc>
        <w:tc>
          <w:tcPr>
            <w:tcW w:w="8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 $</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Actual gain (loss) on plan assets</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1,443</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(263)</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Employer contributions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Participant contributions</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r>
      <w:tr>
        <w:trPr>
          <w:trHeight w:val="227"/>
        </w:trPr>
        <w:tc>
          <w:tcPr>
            <w:tcW w:w="4280" w:type="dxa"/>
            <w:vAlign w:val="bottom"/>
          </w:tcPr>
          <w:p>
            <w:pPr>
              <w:ind w:left="20"/>
              <w:spacing w:after="0"/>
              <w:rPr>
                <w:sz w:val="20"/>
                <w:szCs w:val="20"/>
                <w:color w:val="auto"/>
              </w:rPr>
            </w:pPr>
            <w:r>
              <w:rPr>
                <w:rFonts w:ascii="Arial" w:cs="Arial" w:eastAsia="Arial" w:hAnsi="Arial"/>
                <w:sz w:val="16"/>
                <w:szCs w:val="16"/>
                <w:color w:val="auto"/>
              </w:rPr>
              <w:t>Benefits paid</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(1,266)</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(146)</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6"/>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Acquisitions/Divestitures/Mergers</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9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w:t>
            </w:r>
          </w:p>
        </w:tc>
        <w:tc>
          <w:tcPr>
            <w:tcW w:w="24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gridSpan w:val="2"/>
            <w:shd w:val="clear" w:color="auto" w:fill="E4E4E4"/>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Exchange rate adjustments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5"/>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14,731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14,378</w:t>
            </w:r>
          </w:p>
        </w:tc>
        <w:tc>
          <w:tcPr>
            <w:tcW w:w="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3,528</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3,276</w:t>
            </w:r>
          </w:p>
        </w:tc>
        <w:tc>
          <w:tcPr>
            <w:tcW w:w="80" w:type="dxa"/>
            <w:vAlign w:val="bottom"/>
            <w:tcBorders>
              <w:bottom w:val="single" w:sz="8" w:color="E4E4E4"/>
            </w:tcBorders>
            <w:shd w:val="clear" w:color="auto" w:fill="E4E4E4"/>
          </w:tcPr>
          <w:p>
            <w:pPr>
              <w:spacing w:after="0"/>
              <w:rPr>
                <w:sz w:val="21"/>
                <w:szCs w:val="21"/>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Funded status – surplus (deficit)</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(3,838)</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(3,863)</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380</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319</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(908)</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(1,016)</w:t>
            </w: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Actuarial gains and losses result from changes in actuarial assumptions (such as changes in the discount rate and revised mortality rates). Actuarial losses in 2025 and gains in 2024 related to projected benefit obligations were primarily the result of changes in discount rates.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Amounts Recorded in Consolidated Statements of Financial Position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7"/>
        </w:trPr>
        <w:tc>
          <w:tcPr>
            <w:tcW w:w="4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gridSpan w:val="4"/>
          </w:tcPr>
          <w:p>
            <w:pPr>
              <w:ind w:left="500"/>
              <w:spacing w:after="0"/>
              <w:rPr>
                <w:sz w:val="20"/>
                <w:szCs w:val="20"/>
                <w:color w:val="auto"/>
              </w:rPr>
            </w:pPr>
            <w:r>
              <w:rPr>
                <w:rFonts w:ascii="Arial" w:cs="Arial" w:eastAsia="Arial" w:hAnsi="Arial"/>
                <w:sz w:val="16"/>
                <w:szCs w:val="16"/>
                <w:b w:val="1"/>
                <w:bCs w:val="1"/>
                <w:color w:val="454545"/>
              </w:rPr>
              <w:t>U.S. Plans</w:t>
            </w:r>
          </w:p>
        </w:tc>
        <w:tc>
          <w:tcPr>
            <w:tcW w:w="260" w:type="dxa"/>
            <w:vAlign w:val="bottom"/>
          </w:tcPr>
          <w:p>
            <w:pPr>
              <w:spacing w:after="0"/>
              <w:rPr>
                <w:sz w:val="22"/>
                <w:szCs w:val="22"/>
                <w:color w:val="auto"/>
              </w:rPr>
            </w:pPr>
          </w:p>
        </w:tc>
        <w:tc>
          <w:tcPr>
            <w:tcW w:w="2100" w:type="dxa"/>
            <w:vAlign w:val="bottom"/>
            <w:gridSpan w:val="4"/>
          </w:tcPr>
          <w:p>
            <w:pPr>
              <w:ind w:left="160"/>
              <w:spacing w:after="0"/>
              <w:rPr>
                <w:sz w:val="20"/>
                <w:szCs w:val="20"/>
                <w:color w:val="auto"/>
              </w:rPr>
            </w:pPr>
            <w:r>
              <w:rPr>
                <w:rFonts w:ascii="Arial" w:cs="Arial" w:eastAsia="Arial" w:hAnsi="Arial"/>
                <w:sz w:val="16"/>
                <w:szCs w:val="16"/>
                <w:b w:val="1"/>
                <w:bCs w:val="1"/>
                <w:color w:val="454545"/>
              </w:rPr>
              <w:t>International Plans</w:t>
            </w:r>
          </w:p>
        </w:tc>
        <w:tc>
          <w:tcPr>
            <w:tcW w:w="240" w:type="dxa"/>
            <w:vAlign w:val="bottom"/>
          </w:tcPr>
          <w:p>
            <w:pPr>
              <w:spacing w:after="0"/>
              <w:rPr>
                <w:sz w:val="22"/>
                <w:szCs w:val="22"/>
                <w:color w:val="auto"/>
              </w:rPr>
            </w:pPr>
          </w:p>
        </w:tc>
        <w:tc>
          <w:tcPr>
            <w:tcW w:w="2020" w:type="dxa"/>
            <w:vAlign w:val="bottom"/>
            <w:gridSpan w:val="3"/>
          </w:tcPr>
          <w:p>
            <w:pPr>
              <w:jc w:val="right"/>
              <w:ind w:right="57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42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880" w:type="dxa"/>
            <w:vAlign w:val="bottom"/>
            <w:tcBorders>
              <w:bottom w:val="single" w:sz="8" w:color="454545"/>
            </w:tcBorders>
          </w:tcPr>
          <w:p>
            <w:pPr>
              <w:spacing w:after="0" w:line="20" w:lineRule="exact"/>
              <w:rPr>
                <w:sz w:val="1"/>
                <w:szCs w:val="1"/>
                <w:color w:val="auto"/>
              </w:rPr>
            </w:pPr>
          </w:p>
        </w:tc>
      </w:tr>
      <w:tr>
        <w:trPr>
          <w:trHeight w:val="229"/>
        </w:trPr>
        <w:tc>
          <w:tcPr>
            <w:tcW w:w="4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19"/>
                <w:szCs w:val="19"/>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r>
      <w:tr>
        <w:trPr>
          <w:trHeight w:val="21"/>
        </w:trPr>
        <w:tc>
          <w:tcPr>
            <w:tcW w:w="42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140" w:type="dxa"/>
            <w:vAlign w:val="bottom"/>
            <w:tcBorders>
              <w:bottom w:val="single" w:sz="8" w:color="6022A6"/>
            </w:tcBorders>
            <w:gridSpan w:val="2"/>
          </w:tcPr>
          <w:p>
            <w:pPr>
              <w:spacing w:after="0" w:line="20" w:lineRule="exact"/>
              <w:rPr>
                <w:sz w:val="1"/>
                <w:szCs w:val="1"/>
                <w:color w:val="auto"/>
              </w:rPr>
            </w:pPr>
          </w:p>
        </w:tc>
        <w:tc>
          <w:tcPr>
            <w:tcW w:w="880" w:type="dxa"/>
            <w:vAlign w:val="bottom"/>
            <w:tcBorders>
              <w:bottom w:val="single" w:sz="8" w:color="6022A6"/>
            </w:tcBorders>
          </w:tcPr>
          <w:p>
            <w:pPr>
              <w:spacing w:after="0" w:line="20" w:lineRule="exact"/>
              <w:rPr>
                <w:sz w:val="1"/>
                <w:szCs w:val="1"/>
                <w:color w:val="auto"/>
              </w:rPr>
            </w:pPr>
          </w:p>
        </w:tc>
      </w:tr>
      <w:tr>
        <w:trPr>
          <w:trHeight w:val="230"/>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All other non-current assets</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723</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642</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E4E4E4"/>
            </w:tcBorders>
            <w:gridSpan w:val="2"/>
            <w:shd w:val="clear" w:color="auto" w:fill="E4E4E4"/>
          </w:tcPr>
          <w:p>
            <w:pPr>
              <w:jc w:val="right"/>
              <w:ind w:right="59"/>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280" w:type="dxa"/>
            <w:vAlign w:val="bottom"/>
          </w:tcPr>
          <w:p>
            <w:pPr>
              <w:ind w:left="20"/>
              <w:spacing w:after="0"/>
              <w:rPr>
                <w:sz w:val="20"/>
                <w:szCs w:val="20"/>
                <w:color w:val="auto"/>
              </w:rPr>
            </w:pPr>
            <w:r>
              <w:rPr>
                <w:rFonts w:ascii="Arial" w:cs="Arial" w:eastAsia="Arial" w:hAnsi="Arial"/>
                <w:sz w:val="16"/>
                <w:szCs w:val="16"/>
                <w:color w:val="auto"/>
              </w:rPr>
              <w:t>Current compensation and benefits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9"/>
        </w:trPr>
        <w:tc>
          <w:tcPr>
            <w:tcW w:w="4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1"/>
        </w:trPr>
        <w:tc>
          <w:tcPr>
            <w:tcW w:w="4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Non-current compensation and benefits</w:t>
            </w:r>
          </w:p>
        </w:tc>
        <w:tc>
          <w:tcPr>
            <w:tcW w:w="24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(3,673)</w:t>
            </w:r>
          </w:p>
        </w:tc>
        <w:tc>
          <w:tcPr>
            <w:tcW w:w="26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(3,702)</w:t>
            </w:r>
          </w:p>
        </w:tc>
        <w:tc>
          <w:tcPr>
            <w:tcW w:w="80" w:type="dxa"/>
            <w:vAlign w:val="bottom"/>
            <w:tcBorders>
              <w:bottom w:val="single" w:sz="8" w:color="E4E4E4"/>
            </w:tcBorders>
            <w:shd w:val="clear" w:color="auto" w:fill="E4E4E4"/>
          </w:tcPr>
          <w:p>
            <w:pPr>
              <w:spacing w:after="0"/>
              <w:rPr>
                <w:sz w:val="22"/>
                <w:szCs w:val="22"/>
                <w:color w:val="auto"/>
              </w:rPr>
            </w:pPr>
          </w:p>
        </w:tc>
        <w:tc>
          <w:tcPr>
            <w:tcW w:w="26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(319)</w:t>
            </w:r>
          </w:p>
        </w:tc>
        <w:tc>
          <w:tcPr>
            <w:tcW w:w="240" w:type="dxa"/>
            <w:vAlign w:val="bottom"/>
            <w:tcBorders>
              <w:bottom w:val="single" w:sz="8" w:color="E4E4E4"/>
            </w:tcBorders>
            <w:shd w:val="clear" w:color="auto" w:fill="E4E4E4"/>
          </w:tcPr>
          <w:p>
            <w:pPr>
              <w:spacing w:after="0"/>
              <w:rPr>
                <w:sz w:val="22"/>
                <w:szCs w:val="22"/>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(305)</w:t>
            </w:r>
          </w:p>
        </w:tc>
        <w:tc>
          <w:tcPr>
            <w:tcW w:w="8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(790)</w:t>
            </w:r>
          </w:p>
        </w:tc>
        <w:tc>
          <w:tcPr>
            <w:tcW w:w="260" w:type="dxa"/>
            <w:vAlign w:val="bottom"/>
            <w:tcBorders>
              <w:bottom w:val="single" w:sz="8" w:color="E4E4E4"/>
            </w:tcBorders>
            <w:shd w:val="clear" w:color="auto" w:fill="E4E4E4"/>
          </w:tcPr>
          <w:p>
            <w:pPr>
              <w:spacing w:after="0"/>
              <w:rPr>
                <w:sz w:val="22"/>
                <w:szCs w:val="22"/>
                <w:color w:val="auto"/>
              </w:rPr>
            </w:pPr>
          </w:p>
        </w:tc>
        <w:tc>
          <w:tcPr>
            <w:tcW w:w="8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(881)</w:t>
            </w:r>
          </w:p>
        </w:tc>
      </w:tr>
      <w:tr>
        <w:trPr>
          <w:trHeight w:val="229"/>
        </w:trPr>
        <w:tc>
          <w:tcPr>
            <w:tcW w:w="4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amount recorded</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(3,838)</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(3,863)</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380</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319</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(908)</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(1,016)</w:t>
            </w:r>
          </w:p>
        </w:tc>
      </w:tr>
      <w:tr>
        <w:trPr>
          <w:trHeight w:val="21"/>
        </w:trPr>
        <w:tc>
          <w:tcPr>
            <w:tcW w:w="4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projected benefit obligation balance at December 31 represents the actuarial present value of benefits based on employee service and compensation as of the measurement date and incorporates assumptions relating to future compensation levels and other demographic and financial assumptions. The accumulated benefit obligation represents the same actuarial obligations, excluding an assumption about future compensation levels.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Plan Obligations in Excess of Plan Assets</w:t>
            </w:r>
          </w:p>
        </w:tc>
        <w:tc>
          <w:tcPr>
            <w:tcW w:w="580" w:type="dxa"/>
            <w:vAlign w:val="bottom"/>
          </w:tcPr>
          <w:p>
            <w:pPr>
              <w:spacing w:after="0"/>
              <w:rPr>
                <w:sz w:val="19"/>
                <w:szCs w:val="19"/>
                <w:color w:val="auto"/>
              </w:rPr>
            </w:pPr>
          </w:p>
        </w:tc>
        <w:tc>
          <w:tcPr>
            <w:tcW w:w="16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454545"/>
              </w:rPr>
              <w:t>As of</w:t>
            </w:r>
          </w:p>
        </w:tc>
        <w:tc>
          <w:tcPr>
            <w:tcW w:w="980" w:type="dxa"/>
            <w:vAlign w:val="bottom"/>
          </w:tcPr>
          <w:p>
            <w:pPr>
              <w:spacing w:after="0"/>
              <w:rPr>
                <w:sz w:val="19"/>
                <w:szCs w:val="19"/>
                <w:color w:val="auto"/>
              </w:rPr>
            </w:pPr>
          </w:p>
        </w:tc>
      </w:tr>
      <w:tr>
        <w:trPr>
          <w:trHeight w:val="21"/>
        </w:trPr>
        <w:tc>
          <w:tcPr>
            <w:tcW w:w="8020" w:type="dxa"/>
            <w:vAlign w:val="bottom"/>
          </w:tcPr>
          <w:p>
            <w:pPr>
              <w:spacing w:after="0" w:line="20" w:lineRule="exact"/>
              <w:rPr>
                <w:sz w:val="1"/>
                <w:szCs w:val="1"/>
                <w:color w:val="auto"/>
              </w:rPr>
            </w:pPr>
          </w:p>
        </w:tc>
        <w:tc>
          <w:tcPr>
            <w:tcW w:w="1580" w:type="dxa"/>
            <w:vAlign w:val="bottom"/>
            <w:tcBorders>
              <w:bottom w:val="single" w:sz="8" w:color="454545"/>
            </w:tcBorders>
            <w:gridSpan w:val="2"/>
          </w:tcPr>
          <w:p>
            <w:pPr>
              <w:spacing w:after="0" w:line="20" w:lineRule="exact"/>
              <w:rPr>
                <w:sz w:val="1"/>
                <w:szCs w:val="1"/>
                <w:color w:val="auto"/>
              </w:rPr>
            </w:pPr>
          </w:p>
        </w:tc>
        <w:tc>
          <w:tcPr>
            <w:tcW w:w="1640" w:type="dxa"/>
            <w:vAlign w:val="bottom"/>
            <w:tcBorders>
              <w:bottom w:val="single" w:sz="8" w:color="454545"/>
            </w:tcBorders>
            <w:gridSpan w:val="2"/>
          </w:tcPr>
          <w:p>
            <w:pPr>
              <w:spacing w:after="0" w:line="20" w:lineRule="exact"/>
              <w:rPr>
                <w:sz w:val="1"/>
                <w:szCs w:val="1"/>
                <w:color w:val="auto"/>
              </w:rPr>
            </w:pPr>
          </w:p>
        </w:tc>
      </w:tr>
      <w:tr>
        <w:trPr>
          <w:trHeight w:val="229"/>
        </w:trPr>
        <w:tc>
          <w:tcPr>
            <w:tcW w:w="802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2025</w:t>
            </w:r>
          </w:p>
        </w:tc>
        <w:tc>
          <w:tcPr>
            <w:tcW w:w="16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8020" w:type="dxa"/>
            <w:vAlign w:val="bottom"/>
            <w:tcBorders>
              <w:bottom w:val="single" w:sz="8" w:color="6400A0"/>
            </w:tcBorders>
          </w:tcPr>
          <w:p>
            <w:pPr>
              <w:spacing w:after="0" w:line="20" w:lineRule="exact"/>
              <w:rPr>
                <w:sz w:val="1"/>
                <w:szCs w:val="1"/>
                <w:color w:val="auto"/>
              </w:rPr>
            </w:pPr>
          </w:p>
        </w:tc>
        <w:tc>
          <w:tcPr>
            <w:tcW w:w="580" w:type="dxa"/>
            <w:vAlign w:val="bottom"/>
            <w:tcBorders>
              <w:bottom w:val="single" w:sz="8" w:color="6400A0"/>
            </w:tcBorders>
          </w:tcPr>
          <w:p>
            <w:pPr>
              <w:spacing w:after="0" w:line="20" w:lineRule="exact"/>
              <w:rPr>
                <w:sz w:val="1"/>
                <w:szCs w:val="1"/>
                <w:color w:val="auto"/>
              </w:rPr>
            </w:pPr>
          </w:p>
        </w:tc>
        <w:tc>
          <w:tcPr>
            <w:tcW w:w="1000" w:type="dxa"/>
            <w:vAlign w:val="bottom"/>
            <w:tcBorders>
              <w:bottom w:val="single" w:sz="8" w:color="6400A0"/>
            </w:tcBorders>
          </w:tcPr>
          <w:p>
            <w:pPr>
              <w:spacing w:after="0" w:line="20" w:lineRule="exact"/>
              <w:rPr>
                <w:sz w:val="1"/>
                <w:szCs w:val="1"/>
                <w:color w:val="auto"/>
              </w:rPr>
            </w:pPr>
          </w:p>
        </w:tc>
        <w:tc>
          <w:tcPr>
            <w:tcW w:w="660" w:type="dxa"/>
            <w:vAlign w:val="bottom"/>
            <w:tcBorders>
              <w:bottom w:val="single" w:sz="8" w:color="6400A0"/>
            </w:tcBorders>
          </w:tcPr>
          <w:p>
            <w:pPr>
              <w:spacing w:after="0" w:line="20" w:lineRule="exact"/>
              <w:rPr>
                <w:sz w:val="1"/>
                <w:szCs w:val="1"/>
                <w:color w:val="auto"/>
              </w:rPr>
            </w:pPr>
          </w:p>
        </w:tc>
        <w:tc>
          <w:tcPr>
            <w:tcW w:w="980" w:type="dxa"/>
            <w:vAlign w:val="bottom"/>
            <w:tcBorders>
              <w:bottom w:val="single" w:sz="8" w:color="6400A0"/>
            </w:tcBorders>
          </w:tcPr>
          <w:p>
            <w:pPr>
              <w:spacing w:after="0" w:line="20" w:lineRule="exact"/>
              <w:rPr>
                <w:sz w:val="1"/>
                <w:szCs w:val="1"/>
                <w:color w:val="auto"/>
              </w:rPr>
            </w:pPr>
          </w:p>
        </w:tc>
      </w:tr>
      <w:tr>
        <w:trPr>
          <w:trHeight w:val="230"/>
        </w:trPr>
        <w:tc>
          <w:tcPr>
            <w:tcW w:w="8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Accumulated benefit obligation</w:t>
            </w:r>
          </w:p>
        </w:tc>
        <w:tc>
          <w:tcPr>
            <w:tcW w:w="58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22,595</w:t>
            </w:r>
          </w:p>
        </w:tc>
        <w:tc>
          <w:tcPr>
            <w:tcW w:w="660" w:type="dxa"/>
            <w:vAlign w:val="bottom"/>
            <w:tcBorders>
              <w:bottom w:val="single" w:sz="8" w:color="E4E4E4"/>
            </w:tcBorders>
            <w:shd w:val="clear" w:color="auto" w:fill="E4E4E4"/>
          </w:tcPr>
          <w:p>
            <w:pPr>
              <w:jc w:val="right"/>
              <w:ind w:right="4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22,185</w:t>
            </w:r>
          </w:p>
        </w:tc>
      </w:tr>
      <w:tr>
        <w:trPr>
          <w:trHeight w:val="236"/>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Plans with accumulated benefit obligation in excess of plan assets</w:t>
            </w: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
        </w:trPr>
        <w:tc>
          <w:tcPr>
            <w:tcW w:w="8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6"/>
        </w:trPr>
        <w:tc>
          <w:tcPr>
            <w:tcW w:w="8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Accumulated benefit obligation</w:t>
            </w:r>
          </w:p>
        </w:tc>
        <w:tc>
          <w:tcPr>
            <w:tcW w:w="58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19,754</w:t>
            </w:r>
          </w:p>
        </w:tc>
        <w:tc>
          <w:tcPr>
            <w:tcW w:w="660" w:type="dxa"/>
            <w:vAlign w:val="bottom"/>
            <w:tcBorders>
              <w:bottom w:val="single" w:sz="8" w:color="E4E4E4"/>
            </w:tcBorders>
            <w:shd w:val="clear" w:color="auto" w:fill="E4E4E4"/>
          </w:tcPr>
          <w:p>
            <w:pPr>
              <w:jc w:val="right"/>
              <w:ind w:right="4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19,517</w:t>
            </w:r>
          </w:p>
        </w:tc>
      </w:tr>
      <w:tr>
        <w:trPr>
          <w:trHeight w:val="228"/>
        </w:trPr>
        <w:tc>
          <w:tcPr>
            <w:tcW w:w="8020" w:type="dxa"/>
            <w:vAlign w:val="bottom"/>
          </w:tcPr>
          <w:p>
            <w:pPr>
              <w:ind w:left="20"/>
              <w:spacing w:after="0"/>
              <w:rPr>
                <w:sz w:val="20"/>
                <w:szCs w:val="20"/>
                <w:color w:val="auto"/>
              </w:rPr>
            </w:pPr>
            <w:r>
              <w:rPr>
                <w:rFonts w:ascii="Arial" w:cs="Arial" w:eastAsia="Arial" w:hAnsi="Arial"/>
                <w:sz w:val="16"/>
                <w:szCs w:val="16"/>
                <w:color w:val="auto"/>
              </w:rPr>
              <w:t>Fair value of plan assets</w:t>
            </w: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14,677</w:t>
            </w: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14,327</w:t>
            </w:r>
          </w:p>
        </w:tc>
      </w:tr>
      <w:tr>
        <w:trPr>
          <w:trHeight w:val="29"/>
        </w:trPr>
        <w:tc>
          <w:tcPr>
            <w:tcW w:w="8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8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Plans with projected benefit obligation in excess of plan assets</w:t>
            </w:r>
          </w:p>
        </w:tc>
        <w:tc>
          <w:tcPr>
            <w:tcW w:w="5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spacing w:after="0"/>
              <w:rPr>
                <w:sz w:val="20"/>
                <w:szCs w:val="20"/>
                <w:color w:val="auto"/>
              </w:rPr>
            </w:pPr>
          </w:p>
        </w:tc>
        <w:tc>
          <w:tcPr>
            <w:tcW w:w="6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r>
      <w:tr>
        <w:trPr>
          <w:trHeight w:val="228"/>
        </w:trPr>
        <w:tc>
          <w:tcPr>
            <w:tcW w:w="8020" w:type="dxa"/>
            <w:vAlign w:val="bottom"/>
          </w:tcPr>
          <w:p>
            <w:pPr>
              <w:ind w:left="20"/>
              <w:spacing w:after="0"/>
              <w:rPr>
                <w:sz w:val="20"/>
                <w:szCs w:val="20"/>
                <w:color w:val="auto"/>
              </w:rPr>
            </w:pPr>
            <w:r>
              <w:rPr>
                <w:rFonts w:ascii="Arial" w:cs="Arial" w:eastAsia="Arial" w:hAnsi="Arial"/>
                <w:sz w:val="16"/>
                <w:szCs w:val="16"/>
                <w:color w:val="auto"/>
              </w:rPr>
              <w:t>Projected benefit obligation</w:t>
            </w: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19,778</w:t>
            </w:r>
          </w:p>
        </w:tc>
        <w:tc>
          <w:tcPr>
            <w:tcW w:w="66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19,540</w:t>
            </w:r>
          </w:p>
        </w:tc>
      </w:tr>
      <w:tr>
        <w:trPr>
          <w:trHeight w:val="29"/>
        </w:trPr>
        <w:tc>
          <w:tcPr>
            <w:tcW w:w="8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6"/>
        </w:trPr>
        <w:tc>
          <w:tcPr>
            <w:tcW w:w="8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Fair value of plan assets</w:t>
            </w:r>
          </w:p>
        </w:tc>
        <w:tc>
          <w:tcPr>
            <w:tcW w:w="5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14,677</w:t>
            </w:r>
          </w:p>
        </w:tc>
        <w:tc>
          <w:tcPr>
            <w:tcW w:w="6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14,327</w:t>
            </w:r>
          </w:p>
        </w:tc>
      </w:tr>
      <w:tr>
        <w:trPr>
          <w:trHeight w:val="20"/>
        </w:trPr>
        <w:tc>
          <w:tcPr>
            <w:tcW w:w="80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Pre-Tax Amounts Recorded in AOCI</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57"/>
        </w:trPr>
        <w:tc>
          <w:tcPr>
            <w:tcW w:w="3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60" w:type="dxa"/>
            <w:vAlign w:val="bottom"/>
            <w:gridSpan w:val="6"/>
          </w:tcPr>
          <w:p>
            <w:pPr>
              <w:jc w:val="right"/>
              <w:ind w:right="260"/>
              <w:spacing w:after="0"/>
              <w:rPr>
                <w:sz w:val="20"/>
                <w:szCs w:val="20"/>
                <w:color w:val="auto"/>
              </w:rPr>
            </w:pPr>
            <w:r>
              <w:rPr>
                <w:rFonts w:ascii="Arial" w:cs="Arial" w:eastAsia="Arial" w:hAnsi="Arial"/>
                <w:sz w:val="16"/>
                <w:szCs w:val="16"/>
                <w:b w:val="1"/>
                <w:bCs w:val="1"/>
                <w:color w:val="454545"/>
              </w:rPr>
              <w:t>U.S. Plans</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454545"/>
              </w:rPr>
              <w:t>International Plans</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454545"/>
            </w:tcBorders>
            <w:gridSpan w:val="2"/>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gridSpan w:val="2"/>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bottom w:val="single" w:sz="8" w:color="454545"/>
            </w:tcBorders>
            <w:gridSpan w:val="3"/>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r>
      <w:tr>
        <w:trPr>
          <w:trHeight w:val="229"/>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2025</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5"/>
          </w:tcPr>
          <w:p>
            <w:pPr>
              <w:jc w:val="center"/>
              <w:ind w:left="59"/>
              <w:spacing w:after="0"/>
              <w:rPr>
                <w:sz w:val="20"/>
                <w:szCs w:val="20"/>
                <w:color w:val="auto"/>
              </w:rPr>
            </w:pPr>
            <w:r>
              <w:rPr>
                <w:rFonts w:ascii="Arial" w:cs="Arial" w:eastAsia="Arial" w:hAnsi="Arial"/>
                <w:sz w:val="16"/>
                <w:szCs w:val="16"/>
                <w:b w:val="1"/>
                <w:bCs w:val="1"/>
                <w:color w:val="454545"/>
              </w:rPr>
              <w:t>2025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99"/>
              <w:spacing w:after="0"/>
              <w:rPr>
                <w:sz w:val="20"/>
                <w:szCs w:val="20"/>
                <w:color w:val="auto"/>
              </w:rPr>
            </w:pPr>
            <w:r>
              <w:rPr>
                <w:rFonts w:ascii="Arial" w:cs="Arial" w:eastAsia="Arial" w:hAnsi="Arial"/>
                <w:sz w:val="16"/>
                <w:szCs w:val="16"/>
                <w:b w:val="1"/>
                <w:bCs w:val="1"/>
                <w:color w:val="454545"/>
              </w:rPr>
              <w:t>2024</w:t>
            </w:r>
          </w:p>
        </w:tc>
      </w:tr>
      <w:tr>
        <w:trPr>
          <w:trHeight w:val="21"/>
        </w:trPr>
        <w:tc>
          <w:tcPr>
            <w:tcW w:w="316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620" w:type="dxa"/>
            <w:vAlign w:val="bottom"/>
            <w:tcBorders>
              <w:bottom w:val="single" w:sz="8" w:color="6022A6"/>
            </w:tcBorders>
          </w:tcPr>
          <w:p>
            <w:pPr>
              <w:spacing w:after="0" w:line="20" w:lineRule="exact"/>
              <w:rPr>
                <w:sz w:val="1"/>
                <w:szCs w:val="1"/>
                <w:color w:val="auto"/>
              </w:rPr>
            </w:pPr>
          </w:p>
        </w:tc>
        <w:tc>
          <w:tcPr>
            <w:tcW w:w="480" w:type="dxa"/>
            <w:vAlign w:val="bottom"/>
            <w:tcBorders>
              <w:bottom w:val="single" w:sz="8" w:color="6022A6"/>
            </w:tcBorders>
            <w:gridSpan w:val="2"/>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gridSpan w:val="2"/>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r>
      <w:tr>
        <w:trPr>
          <w:trHeight w:val="230"/>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loss (gain)</w:t>
            </w:r>
          </w:p>
        </w:tc>
        <w:tc>
          <w:tcPr>
            <w:tcW w:w="18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spacing w:after="0"/>
              <w:rPr>
                <w:sz w:val="20"/>
                <w:szCs w:val="20"/>
                <w:color w:val="auto"/>
              </w:rPr>
            </w:pPr>
          </w:p>
        </w:tc>
        <w:tc>
          <w:tcPr>
            <w:tcW w:w="260" w:type="dxa"/>
            <w:vAlign w:val="bottom"/>
            <w:tcBorders>
              <w:bottom w:val="single" w:sz="8" w:color="E4E4E4"/>
            </w:tcBorders>
            <w:shd w:val="clear" w:color="auto" w:fill="E4E4E4"/>
          </w:tcPr>
          <w:p>
            <w:pPr>
              <w:spacing w:after="0"/>
              <w:rPr>
                <w:sz w:val="20"/>
                <w:szCs w:val="20"/>
                <w:color w:val="auto"/>
              </w:rPr>
            </w:pPr>
          </w:p>
        </w:tc>
        <w:tc>
          <w:tcPr>
            <w:tcW w:w="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(147)</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(506)</w:t>
            </w:r>
          </w:p>
        </w:tc>
        <w:tc>
          <w:tcPr>
            <w:tcW w:w="240" w:type="dxa"/>
            <w:vAlign w:val="bottom"/>
            <w:tcBorders>
              <w:bottom w:val="single" w:sz="8" w:color="E4E4E4"/>
            </w:tcBorders>
            <w:gridSpan w:val="3"/>
            <w:shd w:val="clear" w:color="auto" w:fill="E4E4E4"/>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909</w:t>
            </w:r>
          </w:p>
        </w:tc>
        <w:tc>
          <w:tcPr>
            <w:tcW w:w="760" w:type="dxa"/>
            <w:vAlign w:val="bottom"/>
            <w:tcBorders>
              <w:bottom w:val="single" w:sz="8" w:color="E4E4E4"/>
            </w:tcBorders>
            <w:shd w:val="clear" w:color="auto" w:fill="E4E4E4"/>
          </w:tcPr>
          <w:p>
            <w:pPr>
              <w:jc w:val="right"/>
              <w:ind w:right="57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color w:val="auto"/>
              </w:rPr>
              <w:t>849</w:t>
            </w:r>
          </w:p>
        </w:tc>
        <w:tc>
          <w:tcPr>
            <w:tcW w:w="600" w:type="dxa"/>
            <w:vAlign w:val="bottom"/>
            <w:tcBorders>
              <w:bottom w:val="single" w:sz="8" w:color="E4E4E4"/>
            </w:tcBorders>
            <w:gridSpan w:val="3"/>
            <w:shd w:val="clear" w:color="auto" w:fill="E4E4E4"/>
          </w:tcPr>
          <w:p>
            <w:pPr>
              <w:jc w:val="center"/>
              <w:ind w:right="119"/>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(450)</w:t>
            </w:r>
          </w:p>
        </w:tc>
        <w:tc>
          <w:tcPr>
            <w:tcW w:w="240" w:type="dxa"/>
            <w:vAlign w:val="bottom"/>
            <w:tcBorders>
              <w:bottom w:val="single" w:sz="8" w:color="E4E4E4"/>
            </w:tcBorders>
            <w:shd w:val="clear" w:color="auto" w:fill="E4E4E4"/>
          </w:tcPr>
          <w:p>
            <w:pPr>
              <w:jc w:val="center"/>
              <w:ind w:right="1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(469)</w:t>
            </w:r>
          </w:p>
        </w:tc>
      </w:tr>
      <w:tr>
        <w:trPr>
          <w:trHeight w:val="227"/>
        </w:trPr>
        <w:tc>
          <w:tcPr>
            <w:tcW w:w="3160" w:type="dxa"/>
            <w:vAlign w:val="bottom"/>
          </w:tcPr>
          <w:p>
            <w:pPr>
              <w:ind w:left="20"/>
              <w:spacing w:after="0"/>
              <w:rPr>
                <w:sz w:val="20"/>
                <w:szCs w:val="20"/>
                <w:color w:val="auto"/>
              </w:rPr>
            </w:pPr>
            <w:r>
              <w:rPr>
                <w:rFonts w:ascii="Arial" w:cs="Arial" w:eastAsia="Arial" w:hAnsi="Arial"/>
                <w:sz w:val="16"/>
                <w:szCs w:val="16"/>
                <w:color w:val="auto"/>
              </w:rPr>
              <w:t>Prior service cost (credit)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(40)</w:t>
            </w: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76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(16)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29"/>
        </w:trPr>
        <w:tc>
          <w:tcPr>
            <w:tcW w:w="3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recorded in AOCI</w:t>
            </w:r>
          </w:p>
        </w:tc>
        <w:tc>
          <w:tcPr>
            <w:tcW w:w="180" w:type="dxa"/>
            <w:vAlign w:val="bottom"/>
            <w:tcBorders>
              <w:bottom w:val="single" w:sz="8" w:color="E4E4E4"/>
            </w:tcBorders>
            <w:shd w:val="clear" w:color="auto" w:fill="E4E4E4"/>
          </w:tcPr>
          <w:p>
            <w:pPr>
              <w:spacing w:after="0"/>
              <w:rPr>
                <w:sz w:val="21"/>
                <w:szCs w:val="21"/>
                <w:color w:val="auto"/>
              </w:rPr>
            </w:pPr>
          </w:p>
        </w:tc>
        <w:tc>
          <w:tcPr>
            <w:tcW w:w="680" w:type="dxa"/>
            <w:vAlign w:val="bottom"/>
            <w:tcBorders>
              <w:bottom w:val="single" w:sz="8" w:color="E4E4E4"/>
            </w:tcBorders>
            <w:shd w:val="clear" w:color="auto" w:fill="E4E4E4"/>
          </w:tcPr>
          <w:p>
            <w:pPr>
              <w:spacing w:after="0"/>
              <w:rPr>
                <w:sz w:val="21"/>
                <w:szCs w:val="21"/>
                <w:color w:val="auto"/>
              </w:rPr>
            </w:pPr>
          </w:p>
        </w:tc>
        <w:tc>
          <w:tcPr>
            <w:tcW w:w="260" w:type="dxa"/>
            <w:vAlign w:val="bottom"/>
            <w:tcBorders>
              <w:bottom w:val="single" w:sz="8" w:color="E4E4E4"/>
            </w:tcBorders>
            <w:shd w:val="clear" w:color="auto" w:fill="E4E4E4"/>
          </w:tcPr>
          <w:p>
            <w:pPr>
              <w:spacing w:after="0"/>
              <w:rPr>
                <w:sz w:val="21"/>
                <w:szCs w:val="21"/>
                <w:color w:val="auto"/>
              </w:rPr>
            </w:pPr>
          </w:p>
        </w:tc>
        <w:tc>
          <w:tcPr>
            <w:tcW w:w="6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(187)</w:t>
            </w:r>
          </w:p>
        </w:tc>
        <w:tc>
          <w:tcPr>
            <w:tcW w:w="40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rPr>
              <w:t>$</w:t>
            </w:r>
          </w:p>
        </w:tc>
        <w:tc>
          <w:tcPr>
            <w:tcW w:w="20" w:type="dxa"/>
            <w:vAlign w:val="bottom"/>
            <w:tcBorders>
              <w:bottom w:val="single" w:sz="8" w:color="E4E4E4"/>
            </w:tcBorders>
            <w:shd w:val="clear" w:color="auto" w:fill="E4E4E4"/>
          </w:tcPr>
          <w:p>
            <w:pPr>
              <w:spacing w:after="0"/>
              <w:rPr>
                <w:sz w:val="21"/>
                <w:szCs w:val="21"/>
                <w:color w:val="auto"/>
              </w:rPr>
            </w:pPr>
          </w:p>
        </w:tc>
        <w:tc>
          <w:tcPr>
            <w:tcW w:w="80" w:type="dxa"/>
            <w:vAlign w:val="bottom"/>
            <w:tcBorders>
              <w:bottom w:val="single" w:sz="8" w:color="E4E4E4"/>
            </w:tcBorders>
            <w:shd w:val="clear" w:color="auto" w:fill="E4E4E4"/>
          </w:tcPr>
          <w:p>
            <w:pPr>
              <w:spacing w:after="0"/>
              <w:rPr>
                <w:sz w:val="21"/>
                <w:szCs w:val="21"/>
                <w:color w:val="auto"/>
              </w:rPr>
            </w:pPr>
          </w:p>
        </w:tc>
        <w:tc>
          <w:tcPr>
            <w:tcW w:w="180" w:type="dxa"/>
            <w:vAlign w:val="bottom"/>
            <w:tcBorders>
              <w:bottom w:val="single" w:sz="8" w:color="E4E4E4"/>
            </w:tcBorders>
            <w:shd w:val="clear" w:color="auto" w:fill="E4E4E4"/>
          </w:tcPr>
          <w:p>
            <w:pPr>
              <w:spacing w:after="0"/>
              <w:rPr>
                <w:sz w:val="21"/>
                <w:szCs w:val="21"/>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(557)</w:t>
            </w:r>
          </w:p>
        </w:tc>
        <w:tc>
          <w:tcPr>
            <w:tcW w:w="240" w:type="dxa"/>
            <w:vAlign w:val="bottom"/>
            <w:tcBorders>
              <w:bottom w:val="single" w:sz="8" w:color="E4E4E4"/>
            </w:tcBorders>
            <w:gridSpan w:val="3"/>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893</w:t>
            </w:r>
          </w:p>
        </w:tc>
        <w:tc>
          <w:tcPr>
            <w:tcW w:w="760" w:type="dxa"/>
            <w:vAlign w:val="bottom"/>
            <w:tcBorders>
              <w:bottom w:val="single" w:sz="8" w:color="E4E4E4"/>
            </w:tcBorders>
            <w:shd w:val="clear" w:color="auto" w:fill="E4E4E4"/>
          </w:tcPr>
          <w:p>
            <w:pPr>
              <w:jc w:val="right"/>
              <w:ind w:right="57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bottom w:val="single" w:sz="8" w:color="E4E4E4"/>
            </w:tcBorders>
            <w:gridSpan w:val="2"/>
            <w:shd w:val="clear" w:color="auto" w:fill="E4E4E4"/>
          </w:tcPr>
          <w:p>
            <w:pPr>
              <w:jc w:val="right"/>
              <w:ind w:right="20"/>
              <w:spacing w:after="0"/>
              <w:rPr>
                <w:sz w:val="20"/>
                <w:szCs w:val="20"/>
                <w:color w:val="auto"/>
              </w:rPr>
            </w:pPr>
            <w:r>
              <w:rPr>
                <w:rFonts w:ascii="Arial" w:cs="Arial" w:eastAsia="Arial" w:hAnsi="Arial"/>
                <w:sz w:val="16"/>
                <w:szCs w:val="16"/>
                <w:b w:val="1"/>
                <w:bCs w:val="1"/>
                <w:color w:val="auto"/>
              </w:rPr>
              <w:t>833</w:t>
            </w:r>
          </w:p>
        </w:tc>
        <w:tc>
          <w:tcPr>
            <w:tcW w:w="600" w:type="dxa"/>
            <w:vAlign w:val="bottom"/>
            <w:tcBorders>
              <w:bottom w:val="single" w:sz="8" w:color="E4E4E4"/>
            </w:tcBorders>
            <w:gridSpan w:val="3"/>
            <w:shd w:val="clear" w:color="auto" w:fill="E4E4E4"/>
          </w:tcPr>
          <w:p>
            <w:pPr>
              <w:jc w:val="center"/>
              <w:ind w:right="119"/>
              <w:spacing w:after="0"/>
              <w:rPr>
                <w:sz w:val="20"/>
                <w:szCs w:val="20"/>
                <w:color w:val="auto"/>
              </w:rPr>
            </w:pPr>
            <w:r>
              <w:rPr>
                <w:rFonts w:ascii="Arial" w:cs="Arial" w:eastAsia="Arial" w:hAnsi="Arial"/>
                <w:sz w:val="16"/>
                <w:szCs w:val="16"/>
                <w:b w:val="1"/>
                <w:bCs w:val="1"/>
                <w:color w:val="auto"/>
                <w:w w:val="89"/>
              </w:rPr>
              <w:t>$</w:t>
            </w:r>
          </w:p>
        </w:tc>
        <w:tc>
          <w:tcPr>
            <w:tcW w:w="160" w:type="dxa"/>
            <w:vAlign w:val="bottom"/>
            <w:tcBorders>
              <w:bottom w:val="single" w:sz="8" w:color="E4E4E4"/>
            </w:tcBorders>
            <w:shd w:val="clear" w:color="auto" w:fill="E4E4E4"/>
          </w:tcPr>
          <w:p>
            <w:pPr>
              <w:spacing w:after="0"/>
              <w:rPr>
                <w:sz w:val="21"/>
                <w:szCs w:val="21"/>
                <w:color w:val="auto"/>
              </w:rPr>
            </w:pPr>
          </w:p>
        </w:tc>
        <w:tc>
          <w:tcPr>
            <w:tcW w:w="5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(818)</w:t>
            </w:r>
          </w:p>
        </w:tc>
        <w:tc>
          <w:tcPr>
            <w:tcW w:w="240" w:type="dxa"/>
            <w:vAlign w:val="bottom"/>
            <w:tcBorders>
              <w:bottom w:val="single" w:sz="8" w:color="E4E4E4"/>
            </w:tcBorders>
            <w:shd w:val="clear" w:color="auto" w:fill="E4E4E4"/>
          </w:tcPr>
          <w:p>
            <w:pPr>
              <w:jc w:val="center"/>
              <w:ind w:right="19"/>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(916)</w:t>
            </w:r>
          </w:p>
        </w:tc>
      </w:tr>
      <w:tr>
        <w:trPr>
          <w:trHeight w:val="593"/>
        </w:trPr>
        <w:tc>
          <w:tcPr>
            <w:tcW w:w="7640" w:type="dxa"/>
            <w:vAlign w:val="bottom"/>
            <w:tcBorders>
              <w:top w:val="single" w:sz="8" w:color="auto"/>
            </w:tcBorders>
            <w:gridSpan w:val="17"/>
          </w:tcPr>
          <w:p>
            <w:pPr>
              <w:ind w:left="20"/>
              <w:spacing w:after="0"/>
              <w:rPr>
                <w:sz w:val="20"/>
                <w:szCs w:val="20"/>
                <w:color w:val="auto"/>
              </w:rPr>
            </w:pPr>
            <w:r>
              <w:rPr>
                <w:rFonts w:ascii="Arial" w:cs="Arial" w:eastAsia="Arial" w:hAnsi="Arial"/>
                <w:sz w:val="16"/>
                <w:szCs w:val="16"/>
                <w:b w:val="1"/>
                <w:bCs w:val="1"/>
                <w:color w:val="auto"/>
              </w:rPr>
              <w:t>Pre-tax Cost of Postretirement Benefit Plans and Changes in Other Comprehensive Income</w:t>
            </w: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r>
      <w:tr>
        <w:trPr>
          <w:trHeight w:val="256"/>
        </w:trPr>
        <w:tc>
          <w:tcPr>
            <w:tcW w:w="3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454545"/>
              </w:rPr>
              <w:t>U.S. Plans</w:t>
            </w: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60" w:type="dxa"/>
            <w:vAlign w:val="bottom"/>
            <w:gridSpan w:val="8"/>
          </w:tcPr>
          <w:p>
            <w:pPr>
              <w:jc w:val="right"/>
              <w:ind w:right="519"/>
              <w:spacing w:after="0"/>
              <w:rPr>
                <w:sz w:val="20"/>
                <w:szCs w:val="20"/>
                <w:color w:val="auto"/>
              </w:rPr>
            </w:pPr>
            <w:r>
              <w:rPr>
                <w:rFonts w:ascii="Arial" w:cs="Arial" w:eastAsia="Arial" w:hAnsi="Arial"/>
                <w:sz w:val="16"/>
                <w:szCs w:val="16"/>
                <w:b w:val="1"/>
                <w:bCs w:val="1"/>
                <w:color w:val="454545"/>
              </w:rPr>
              <w:t>International Plans</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40" w:type="dxa"/>
            <w:vAlign w:val="bottom"/>
            <w:gridSpan w:val="4"/>
          </w:tcPr>
          <w:p>
            <w:pPr>
              <w:jc w:val="right"/>
              <w:ind w:right="19"/>
              <w:spacing w:after="0"/>
              <w:rPr>
                <w:sz w:val="20"/>
                <w:szCs w:val="20"/>
                <w:color w:val="auto"/>
              </w:rPr>
            </w:pPr>
            <w:r>
              <w:rPr>
                <w:rFonts w:ascii="Arial" w:cs="Arial" w:eastAsia="Arial" w:hAnsi="Arial"/>
                <w:sz w:val="16"/>
                <w:szCs w:val="16"/>
                <w:b w:val="1"/>
                <w:bCs w:val="1"/>
                <w:color w:val="454545"/>
                <w:w w:val="99"/>
              </w:rPr>
              <w:t>OPEB Plans</w:t>
            </w:r>
          </w:p>
        </w:tc>
        <w:tc>
          <w:tcPr>
            <w:tcW w:w="760" w:type="dxa"/>
            <w:vAlign w:val="bottom"/>
          </w:tcPr>
          <w:p>
            <w:pPr>
              <w:spacing w:after="0"/>
              <w:rPr>
                <w:sz w:val="22"/>
                <w:szCs w:val="22"/>
                <w:color w:val="auto"/>
              </w:rPr>
            </w:pPr>
          </w:p>
        </w:tc>
      </w:tr>
      <w:tr>
        <w:trPr>
          <w:trHeight w:val="21"/>
        </w:trPr>
        <w:tc>
          <w:tcPr>
            <w:tcW w:w="316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62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gridSpan w:val="2"/>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20" w:type="dxa"/>
            <w:vAlign w:val="bottom"/>
            <w:tcBorders>
              <w:bottom w:val="single" w:sz="8" w:color="454545"/>
            </w:tcBorders>
          </w:tcPr>
          <w:p>
            <w:pPr>
              <w:spacing w:after="0" w:line="20" w:lineRule="exact"/>
              <w:rPr>
                <w:sz w:val="1"/>
                <w:szCs w:val="1"/>
                <w:color w:val="auto"/>
              </w:rPr>
            </w:pPr>
          </w:p>
        </w:tc>
        <w:tc>
          <w:tcPr>
            <w:tcW w:w="8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gridSpan w:val="3"/>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5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r>
      <w:tr>
        <w:trPr>
          <w:trHeight w:val="229"/>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2025</w:t>
            </w:r>
          </w:p>
        </w:tc>
        <w:tc>
          <w:tcPr>
            <w:tcW w:w="26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Arial" w:cs="Arial" w:eastAsia="Arial" w:hAnsi="Arial"/>
                <w:sz w:val="16"/>
                <w:szCs w:val="16"/>
                <w:b w:val="1"/>
                <w:bCs w:val="1"/>
                <w:color w:val="454545"/>
              </w:rPr>
              <w:t>2024</w:t>
            </w:r>
          </w:p>
        </w:tc>
        <w:tc>
          <w:tcPr>
            <w:tcW w:w="160" w:type="dxa"/>
            <w:vAlign w:val="bottom"/>
          </w:tcPr>
          <w:p>
            <w:pPr>
              <w:spacing w:after="0"/>
              <w:rPr>
                <w:sz w:val="19"/>
                <w:szCs w:val="19"/>
                <w:color w:val="auto"/>
              </w:rPr>
            </w:pPr>
          </w:p>
        </w:tc>
        <w:tc>
          <w:tcPr>
            <w:tcW w:w="72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454545"/>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120" w:type="dxa"/>
            <w:vAlign w:val="bottom"/>
          </w:tcPr>
          <w:p>
            <w:pPr>
              <w:spacing w:after="0"/>
              <w:rPr>
                <w:sz w:val="19"/>
                <w:szCs w:val="19"/>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3"/>
          </w:tcPr>
          <w:p>
            <w:pPr>
              <w:jc w:val="center"/>
              <w:ind w:right="119"/>
              <w:spacing w:after="0"/>
              <w:rPr>
                <w:sz w:val="20"/>
                <w:szCs w:val="20"/>
                <w:color w:val="auto"/>
              </w:rPr>
            </w:pPr>
            <w:r>
              <w:rPr>
                <w:rFonts w:ascii="Arial" w:cs="Arial" w:eastAsia="Arial" w:hAnsi="Arial"/>
                <w:sz w:val="16"/>
                <w:szCs w:val="16"/>
                <w:b w:val="1"/>
                <w:bCs w:val="1"/>
                <w:color w:val="454545"/>
              </w:rPr>
              <w:t>2025</w:t>
            </w:r>
          </w:p>
        </w:tc>
        <w:tc>
          <w:tcPr>
            <w:tcW w:w="1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b w:val="1"/>
                <w:bCs w:val="1"/>
                <w:color w:val="454545"/>
              </w:rPr>
              <w:t>2024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r>
      <w:tr>
        <w:trPr>
          <w:trHeight w:val="21"/>
        </w:trPr>
        <w:tc>
          <w:tcPr>
            <w:tcW w:w="316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260" w:type="dxa"/>
            <w:vAlign w:val="bottom"/>
            <w:tcBorders>
              <w:bottom w:val="single" w:sz="8" w:color="6022A6"/>
            </w:tcBorders>
          </w:tcPr>
          <w:p>
            <w:pPr>
              <w:spacing w:after="0" w:line="20" w:lineRule="exact"/>
              <w:rPr>
                <w:sz w:val="1"/>
                <w:szCs w:val="1"/>
                <w:color w:val="auto"/>
              </w:rPr>
            </w:pPr>
          </w:p>
        </w:tc>
        <w:tc>
          <w:tcPr>
            <w:tcW w:w="62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40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46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500" w:type="dxa"/>
            <w:vAlign w:val="bottom"/>
            <w:tcBorders>
              <w:bottom w:val="single" w:sz="8" w:color="6022A6"/>
            </w:tcBorders>
          </w:tcPr>
          <w:p>
            <w:pPr>
              <w:spacing w:after="0" w:line="20" w:lineRule="exact"/>
              <w:rPr>
                <w:sz w:val="1"/>
                <w:szCs w:val="1"/>
                <w:color w:val="auto"/>
              </w:rPr>
            </w:pPr>
          </w:p>
        </w:tc>
        <w:tc>
          <w:tcPr>
            <w:tcW w:w="24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r>
      <w:tr>
        <w:trPr>
          <w:trHeight w:val="209"/>
        </w:trPr>
        <w:tc>
          <w:tcPr>
            <w:tcW w:w="31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Cost (income) of postretirement benefit</w:t>
            </w:r>
          </w:p>
        </w:tc>
        <w:tc>
          <w:tcPr>
            <w:tcW w:w="180" w:type="dxa"/>
            <w:vAlign w:val="bottom"/>
            <w:shd w:val="clear" w:color="auto" w:fill="E4E4E4"/>
          </w:tcPr>
          <w:p>
            <w:pPr>
              <w:spacing w:after="0"/>
              <w:rPr>
                <w:sz w:val="18"/>
                <w:szCs w:val="18"/>
                <w:color w:val="auto"/>
              </w:rPr>
            </w:pPr>
          </w:p>
        </w:tc>
        <w:tc>
          <w:tcPr>
            <w:tcW w:w="68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62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320" w:type="dxa"/>
            <w:vAlign w:val="bottom"/>
            <w:shd w:val="clear" w:color="auto" w:fill="E4E4E4"/>
          </w:tcPr>
          <w:p>
            <w:pPr>
              <w:spacing w:after="0"/>
              <w:rPr>
                <w:sz w:val="18"/>
                <w:szCs w:val="18"/>
                <w:color w:val="auto"/>
              </w:rPr>
            </w:pPr>
          </w:p>
        </w:tc>
        <w:tc>
          <w:tcPr>
            <w:tcW w:w="4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70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50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r>
      <w:tr>
        <w:trPr>
          <w:trHeight w:val="249"/>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plans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(218)</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(250)</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320" w:type="dxa"/>
            <w:vAlign w:val="bottom"/>
            <w:tcBorders>
              <w:bottom w:val="single" w:sz="8" w:color="E4E4E4"/>
            </w:tcBorders>
            <w:shd w:val="clear" w:color="auto" w:fill="E4E4E4"/>
          </w:tcPr>
          <w:p>
            <w:pPr>
              <w:spacing w:after="0"/>
              <w:rPr>
                <w:sz w:val="21"/>
                <w:szCs w:val="21"/>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(224)</w:t>
            </w:r>
          </w:p>
        </w:tc>
        <w:tc>
          <w:tcPr>
            <w:tcW w:w="280" w:type="dxa"/>
            <w:vAlign w:val="bottom"/>
            <w:tcBorders>
              <w:bottom w:val="single" w:sz="8" w:color="E4E4E4"/>
            </w:tcBorders>
            <w:gridSpan w:val="3"/>
            <w:shd w:val="clear" w:color="auto" w:fill="E4E4E4"/>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gridSpan w:val="4"/>
            <w:shd w:val="clear" w:color="auto" w:fill="E4E4E4"/>
          </w:tcPr>
          <w:p>
            <w:pPr>
              <w:jc w:val="right"/>
              <w:ind w:right="80"/>
              <w:spacing w:after="0"/>
              <w:rPr>
                <w:sz w:val="20"/>
                <w:szCs w:val="20"/>
                <w:color w:val="auto"/>
              </w:rPr>
            </w:pPr>
            <w:r>
              <w:rPr>
                <w:rFonts w:ascii="Arial" w:cs="Arial" w:eastAsia="Arial" w:hAnsi="Arial"/>
                <w:sz w:val="16"/>
                <w:szCs w:val="16"/>
                <w:b w:val="1"/>
                <w:bCs w:val="1"/>
                <w:color w:val="auto"/>
              </w:rPr>
              <w:t>37</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w:t>
            </w:r>
          </w:p>
        </w:tc>
        <w:tc>
          <w:tcPr>
            <w:tcW w:w="32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gridSpan w:val="3"/>
            <w:shd w:val="clear" w:color="auto" w:fill="E4E4E4"/>
          </w:tcPr>
          <w:p>
            <w:pPr>
              <w:jc w:val="right"/>
              <w:spacing w:after="0"/>
              <w:rPr>
                <w:sz w:val="20"/>
                <w:szCs w:val="20"/>
                <w:color w:val="auto"/>
              </w:rPr>
            </w:pPr>
            <w:r>
              <w:rPr>
                <w:rFonts w:ascii="Arial" w:cs="Arial" w:eastAsia="Arial" w:hAnsi="Arial"/>
                <w:sz w:val="16"/>
                <w:szCs w:val="16"/>
                <w:b w:val="1"/>
                <w:bCs w:val="1"/>
                <w:color w:val="auto"/>
              </w:rPr>
              <w:t>(86)</w:t>
            </w:r>
          </w:p>
        </w:tc>
        <w:tc>
          <w:tcPr>
            <w:tcW w:w="1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E4E4E4"/>
            </w:tcBorders>
            <w:gridSpan w:val="2"/>
            <w:shd w:val="clear" w:color="auto" w:fill="E4E4E4"/>
          </w:tcPr>
          <w:p>
            <w:pPr>
              <w:jc w:val="center"/>
              <w:ind w:left="339"/>
              <w:spacing w:after="0"/>
              <w:rPr>
                <w:sz w:val="20"/>
                <w:szCs w:val="20"/>
                <w:color w:val="auto"/>
              </w:rPr>
            </w:pPr>
            <w:r>
              <w:rPr>
                <w:rFonts w:ascii="Arial" w:cs="Arial" w:eastAsia="Arial" w:hAnsi="Arial"/>
                <w:sz w:val="16"/>
                <w:szCs w:val="16"/>
                <w:b w:val="1"/>
                <w:bCs w:val="1"/>
                <w:color w:val="auto"/>
                <w:w w:val="98"/>
              </w:rPr>
              <w:t>(87)</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(86)</w:t>
            </w:r>
          </w:p>
        </w:tc>
      </w:tr>
      <w:tr>
        <w:trPr>
          <w:trHeight w:val="209"/>
        </w:trPr>
        <w:tc>
          <w:tcPr>
            <w:tcW w:w="3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Changes in other comprehensive loss</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(income):</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1"/>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Transfers from GE at Spin-Off</w:t>
            </w:r>
          </w:p>
        </w:tc>
        <w:tc>
          <w:tcPr>
            <w:tcW w:w="18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color w:val="auto"/>
              </w:rPr>
              <w:t>(1,791)</w:t>
            </w:r>
          </w:p>
        </w:tc>
        <w:tc>
          <w:tcPr>
            <w:tcW w:w="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gridSpan w:val="3"/>
            <w:shd w:val="clear" w:color="auto" w:fill="E4E4E4"/>
          </w:tcPr>
          <w:p>
            <w:pPr>
              <w:jc w:val="right"/>
              <w:ind w:right="80"/>
              <w:spacing w:after="0"/>
              <w:rPr>
                <w:sz w:val="20"/>
                <w:szCs w:val="20"/>
                <w:color w:val="auto"/>
              </w:rPr>
            </w:pPr>
            <w:r>
              <w:rPr>
                <w:rFonts w:ascii="Arial" w:cs="Arial" w:eastAsia="Arial" w:hAnsi="Arial"/>
                <w:sz w:val="16"/>
                <w:szCs w:val="16"/>
                <w:color w:val="auto"/>
                <w:w w:val="87"/>
              </w:rPr>
              <w:t>—</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542</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(1,216)</w:t>
            </w:r>
          </w:p>
        </w:tc>
      </w:tr>
      <w:tr>
        <w:trPr>
          <w:trHeight w:val="228"/>
        </w:trPr>
        <w:tc>
          <w:tcPr>
            <w:tcW w:w="3160" w:type="dxa"/>
            <w:vAlign w:val="bottom"/>
          </w:tcPr>
          <w:p>
            <w:pPr>
              <w:ind w:left="20"/>
              <w:spacing w:after="0"/>
              <w:rPr>
                <w:sz w:val="20"/>
                <w:szCs w:val="20"/>
                <w:color w:val="auto"/>
              </w:rPr>
            </w:pPr>
            <w:r>
              <w:rPr>
                <w:rFonts w:ascii="Arial" w:cs="Arial" w:eastAsia="Arial" w:hAnsi="Arial"/>
                <w:sz w:val="16"/>
                <w:szCs w:val="16"/>
                <w:color w:val="auto"/>
              </w:rPr>
              <w:t>Plan amendments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53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gridSpan w:val="4"/>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loss (gain) – current year</w:t>
            </w:r>
          </w:p>
        </w:tc>
        <w:tc>
          <w:tcPr>
            <w:tcW w:w="18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294</w:t>
            </w:r>
          </w:p>
        </w:tc>
        <w:tc>
          <w:tcPr>
            <w:tcW w:w="260" w:type="dxa"/>
            <w:vAlign w:val="bottom"/>
            <w:tcBorders>
              <w:bottom w:val="single" w:sz="8" w:color="E4E4E4"/>
            </w:tcBorders>
            <w:shd w:val="clear" w:color="auto" w:fill="E4E4E4"/>
          </w:tcPr>
          <w:p>
            <w:pPr>
              <w:spacing w:after="0"/>
              <w:rPr>
                <w:sz w:val="20"/>
                <w:szCs w:val="20"/>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348</w:t>
            </w:r>
          </w:p>
        </w:tc>
        <w:tc>
          <w:tcPr>
            <w:tcW w:w="1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695</w:t>
            </w:r>
          </w:p>
        </w:tc>
        <w:tc>
          <w:tcPr>
            <w:tcW w:w="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gridSpan w:val="4"/>
            <w:shd w:val="clear" w:color="auto" w:fill="E4E4E4"/>
          </w:tcPr>
          <w:p>
            <w:pPr>
              <w:jc w:val="right"/>
              <w:ind w:right="80"/>
              <w:spacing w:after="0"/>
              <w:rPr>
                <w:sz w:val="20"/>
                <w:szCs w:val="20"/>
                <w:color w:val="auto"/>
              </w:rPr>
            </w:pPr>
            <w:r>
              <w:rPr>
                <w:rFonts w:ascii="Arial" w:cs="Arial" w:eastAsia="Arial" w:hAnsi="Arial"/>
                <w:sz w:val="16"/>
                <w:szCs w:val="16"/>
                <w:color w:val="auto"/>
              </w:rPr>
              <w:t>16</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198</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gridSpan w:val="3"/>
            <w:shd w:val="clear" w:color="auto" w:fill="E4E4E4"/>
          </w:tcPr>
          <w:p>
            <w:pPr>
              <w:jc w:val="right"/>
              <w:spacing w:after="0"/>
              <w:rPr>
                <w:sz w:val="20"/>
                <w:szCs w:val="20"/>
                <w:color w:val="auto"/>
              </w:rPr>
            </w:pPr>
            <w:r>
              <w:rPr>
                <w:rFonts w:ascii="Arial" w:cs="Arial" w:eastAsia="Arial" w:hAnsi="Arial"/>
                <w:sz w:val="16"/>
                <w:szCs w:val="16"/>
                <w:color w:val="auto"/>
              </w:rPr>
              <w:t>(45)</w:t>
            </w:r>
          </w:p>
        </w:tc>
        <w:tc>
          <w:tcPr>
            <w:tcW w:w="16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gridSpan w:val="2"/>
            <w:shd w:val="clear" w:color="auto" w:fill="E4E4E4"/>
          </w:tcPr>
          <w:p>
            <w:pPr>
              <w:jc w:val="center"/>
              <w:ind w:left="339"/>
              <w:spacing w:after="0"/>
              <w:rPr>
                <w:sz w:val="20"/>
                <w:szCs w:val="20"/>
                <w:color w:val="auto"/>
              </w:rPr>
            </w:pPr>
            <w:r>
              <w:rPr>
                <w:rFonts w:ascii="Arial" w:cs="Arial" w:eastAsia="Arial" w:hAnsi="Arial"/>
                <w:sz w:val="16"/>
                <w:szCs w:val="16"/>
                <w:color w:val="auto"/>
                <w:w w:val="98"/>
              </w:rPr>
              <w:t>(48)</w:t>
            </w:r>
          </w:p>
        </w:tc>
        <w:tc>
          <w:tcPr>
            <w:tcW w:w="1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50</w:t>
            </w:r>
          </w:p>
        </w:tc>
      </w:tr>
      <w:tr>
        <w:trPr>
          <w:trHeight w:val="235"/>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Reclassifications out of AOCI:</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1"/>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6"/>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Curtailment / settlement gain (loss)</w:t>
            </w:r>
          </w:p>
        </w:tc>
        <w:tc>
          <w:tcPr>
            <w:tcW w:w="18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(108)</w:t>
            </w:r>
          </w:p>
        </w:tc>
        <w:tc>
          <w:tcPr>
            <w:tcW w:w="2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gridSpan w:val="3"/>
            <w:shd w:val="clear" w:color="auto" w:fill="E4E4E4"/>
          </w:tcPr>
          <w:p>
            <w:pPr>
              <w:jc w:val="right"/>
              <w:ind w:right="80"/>
              <w:spacing w:after="0"/>
              <w:rPr>
                <w:sz w:val="20"/>
                <w:szCs w:val="20"/>
                <w:color w:val="auto"/>
              </w:rPr>
            </w:pPr>
            <w:r>
              <w:rPr>
                <w:rFonts w:ascii="Arial" w:cs="Arial" w:eastAsia="Arial" w:hAnsi="Arial"/>
                <w:sz w:val="16"/>
                <w:szCs w:val="16"/>
                <w:color w:val="auto"/>
              </w:rPr>
              <w:t>1</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spacing w:after="0"/>
              <w:rPr>
                <w:sz w:val="20"/>
                <w:szCs w:val="20"/>
                <w:color w:val="auto"/>
              </w:rPr>
            </w:pPr>
          </w:p>
        </w:tc>
        <w:tc>
          <w:tcPr>
            <w:tcW w:w="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50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99"/>
              </w:rPr>
              <w:t>—</w:t>
            </w:r>
          </w:p>
        </w:tc>
        <w:tc>
          <w:tcPr>
            <w:tcW w:w="1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316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65</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4"/>
          </w:tcPr>
          <w:p>
            <w:pPr>
              <w:jc w:val="right"/>
              <w:ind w:right="20"/>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6"/>
                <w:szCs w:val="16"/>
                <w:color w:val="auto"/>
              </w:rPr>
              <w:t>64</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9"/>
              </w:rPr>
              <w:t>61</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9"/>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62"/>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180" w:type="dxa"/>
            <w:vAlign w:val="bottom"/>
            <w:tcBorders>
              <w:bottom w:val="single" w:sz="8" w:color="E4E4E4"/>
            </w:tcBorders>
            <w:shd w:val="clear" w:color="auto" w:fill="E4E4E4"/>
          </w:tcPr>
          <w:p>
            <w:pPr>
              <w:spacing w:after="0"/>
              <w:rPr>
                <w:sz w:val="22"/>
                <w:szCs w:val="22"/>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260" w:type="dxa"/>
            <w:vAlign w:val="bottom"/>
            <w:tcBorders>
              <w:bottom w:val="single" w:sz="8" w:color="E4E4E4"/>
            </w:tcBorders>
            <w:shd w:val="clear" w:color="auto" w:fill="E4E4E4"/>
          </w:tcPr>
          <w:p>
            <w:pPr>
              <w:spacing w:after="0"/>
              <w:rPr>
                <w:sz w:val="22"/>
                <w:szCs w:val="22"/>
                <w:color w:val="auto"/>
              </w:rPr>
            </w:pP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160" w:type="dxa"/>
            <w:vAlign w:val="bottom"/>
            <w:tcBorders>
              <w:bottom w:val="single" w:sz="8" w:color="E4E4E4"/>
            </w:tcBorders>
            <w:shd w:val="clear" w:color="auto" w:fill="E4E4E4"/>
          </w:tcPr>
          <w:p>
            <w:pPr>
              <w:spacing w:after="0"/>
              <w:rPr>
                <w:sz w:val="22"/>
                <w:szCs w:val="22"/>
                <w:color w:val="auto"/>
              </w:rPr>
            </w:pPr>
          </w:p>
        </w:tc>
        <w:tc>
          <w:tcPr>
            <w:tcW w:w="320" w:type="dxa"/>
            <w:vAlign w:val="bottom"/>
            <w:tcBorders>
              <w:bottom w:val="single" w:sz="8" w:color="E4E4E4"/>
            </w:tcBorders>
            <w:shd w:val="clear" w:color="auto" w:fill="E4E4E4"/>
          </w:tcPr>
          <w:p>
            <w:pPr>
              <w:spacing w:after="0"/>
              <w:rPr>
                <w:sz w:val="22"/>
                <w:szCs w:val="22"/>
                <w:color w:val="auto"/>
              </w:rPr>
            </w:pPr>
          </w:p>
        </w:tc>
        <w:tc>
          <w:tcPr>
            <w:tcW w:w="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18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gridSpan w:val="3"/>
            <w:shd w:val="clear" w:color="auto" w:fill="E4E4E4"/>
          </w:tcPr>
          <w:p>
            <w:pPr>
              <w:jc w:val="right"/>
              <w:ind w:right="80"/>
              <w:spacing w:after="0"/>
              <w:rPr>
                <w:sz w:val="20"/>
                <w:szCs w:val="20"/>
                <w:color w:val="auto"/>
              </w:rPr>
            </w:pPr>
            <w:r>
              <w:rPr>
                <w:rFonts w:ascii="Arial" w:cs="Arial" w:eastAsia="Arial" w:hAnsi="Arial"/>
                <w:sz w:val="16"/>
                <w:szCs w:val="16"/>
                <w:color w:val="auto"/>
              </w:rPr>
              <w:t>2</w:t>
            </w:r>
          </w:p>
        </w:tc>
        <w:tc>
          <w:tcPr>
            <w:tcW w:w="180" w:type="dxa"/>
            <w:vAlign w:val="bottom"/>
            <w:tcBorders>
              <w:bottom w:val="single" w:sz="8" w:color="E4E4E4"/>
            </w:tcBorders>
            <w:shd w:val="clear" w:color="auto" w:fill="E4E4E4"/>
          </w:tcPr>
          <w:p>
            <w:pPr>
              <w:spacing w:after="0"/>
              <w:rPr>
                <w:sz w:val="22"/>
                <w:szCs w:val="22"/>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spacing w:after="0"/>
              <w:rPr>
                <w:sz w:val="22"/>
                <w:szCs w:val="22"/>
                <w:color w:val="auto"/>
              </w:rPr>
            </w:pPr>
          </w:p>
        </w:tc>
        <w:tc>
          <w:tcPr>
            <w:tcW w:w="600" w:type="dxa"/>
            <w:vAlign w:val="bottom"/>
            <w:tcBorders>
              <w:bottom w:val="single" w:sz="8" w:color="E4E4E4"/>
            </w:tcBorders>
            <w:gridSpan w:val="3"/>
            <w:shd w:val="clear" w:color="auto" w:fill="E4E4E4"/>
          </w:tcPr>
          <w:p>
            <w:pPr>
              <w:jc w:val="right"/>
              <w:spacing w:after="0"/>
              <w:rPr>
                <w:sz w:val="20"/>
                <w:szCs w:val="20"/>
                <w:color w:val="auto"/>
              </w:rPr>
            </w:pPr>
            <w:r>
              <w:rPr>
                <w:rFonts w:ascii="Arial" w:cs="Arial" w:eastAsia="Arial" w:hAnsi="Arial"/>
                <w:sz w:val="16"/>
                <w:szCs w:val="16"/>
                <w:color w:val="auto"/>
              </w:rPr>
              <w:t>80</w:t>
            </w:r>
          </w:p>
        </w:tc>
        <w:tc>
          <w:tcPr>
            <w:tcW w:w="160" w:type="dxa"/>
            <w:vAlign w:val="bottom"/>
            <w:tcBorders>
              <w:bottom w:val="single" w:sz="8" w:color="E4E4E4"/>
            </w:tcBorders>
            <w:shd w:val="clear" w:color="auto" w:fill="E4E4E4"/>
          </w:tcPr>
          <w:p>
            <w:pPr>
              <w:spacing w:after="0"/>
              <w:rPr>
                <w:sz w:val="22"/>
                <w:szCs w:val="22"/>
                <w:color w:val="auto"/>
              </w:rPr>
            </w:pPr>
          </w:p>
        </w:tc>
        <w:tc>
          <w:tcPr>
            <w:tcW w:w="50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87</w:t>
            </w:r>
          </w:p>
        </w:tc>
        <w:tc>
          <w:tcPr>
            <w:tcW w:w="140" w:type="dxa"/>
            <w:vAlign w:val="bottom"/>
            <w:tcBorders>
              <w:bottom w:val="single" w:sz="8" w:color="E4E4E4"/>
            </w:tcBorders>
            <w:shd w:val="clear" w:color="auto" w:fill="E4E4E4"/>
          </w:tcPr>
          <w:p>
            <w:pPr>
              <w:spacing w:after="0"/>
              <w:rPr>
                <w:sz w:val="22"/>
                <w:szCs w:val="22"/>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r>
      <w:tr>
        <w:trPr>
          <w:trHeight w:val="209"/>
        </w:trPr>
        <w:tc>
          <w:tcPr>
            <w:tcW w:w="31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changes in other comprehensive</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23"/>
        </w:trPr>
        <w:tc>
          <w:tcPr>
            <w:tcW w:w="3160" w:type="dxa"/>
            <w:vAlign w:val="bottom"/>
          </w:tcPr>
          <w:p>
            <w:pPr>
              <w:ind w:left="20"/>
              <w:spacing w:after="0"/>
              <w:rPr>
                <w:sz w:val="20"/>
                <w:szCs w:val="20"/>
                <w:color w:val="auto"/>
              </w:rPr>
            </w:pPr>
            <w:r>
              <w:rPr>
                <w:rFonts w:ascii="Arial" w:cs="Arial" w:eastAsia="Arial" w:hAnsi="Arial"/>
                <w:sz w:val="16"/>
                <w:szCs w:val="16"/>
                <w:b w:val="1"/>
                <w:bCs w:val="1"/>
                <w:color w:val="auto"/>
              </w:rPr>
              <w:t>loss (income)</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b w:val="1"/>
                <w:bCs w:val="1"/>
                <w:color w:val="auto"/>
              </w:rPr>
              <w:t>370</w:t>
            </w:r>
          </w:p>
        </w:tc>
        <w:tc>
          <w:tcPr>
            <w:tcW w:w="2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408</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rPr>
              <w:t>(1,034)</w:t>
            </w:r>
          </w:p>
        </w:tc>
        <w:tc>
          <w:tcPr>
            <w:tcW w:w="28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spacing w:after="0"/>
              <w:rPr>
                <w:sz w:val="19"/>
                <w:szCs w:val="19"/>
                <w:color w:val="auto"/>
              </w:rPr>
            </w:pPr>
          </w:p>
        </w:tc>
        <w:tc>
          <w:tcPr>
            <w:tcW w:w="2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737</w:t>
            </w:r>
          </w:p>
        </w:tc>
        <w:tc>
          <w:tcPr>
            <w:tcW w:w="3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t>
            </w:r>
          </w:p>
        </w:tc>
        <w:tc>
          <w:tcPr>
            <w:tcW w:w="600" w:type="dxa"/>
            <w:vAlign w:val="bottom"/>
            <w:gridSpan w:val="3"/>
          </w:tcPr>
          <w:p>
            <w:pPr>
              <w:jc w:val="right"/>
              <w:spacing w:after="0"/>
              <w:rPr>
                <w:sz w:val="20"/>
                <w:szCs w:val="20"/>
                <w:color w:val="auto"/>
              </w:rPr>
            </w:pPr>
            <w:r>
              <w:rPr>
                <w:rFonts w:ascii="Arial" w:cs="Arial" w:eastAsia="Arial" w:hAnsi="Arial"/>
                <w:sz w:val="16"/>
                <w:szCs w:val="16"/>
                <w:b w:val="1"/>
                <w:bCs w:val="1"/>
                <w:color w:val="auto"/>
              </w:rPr>
              <w:t>98</w:t>
            </w:r>
          </w:p>
        </w:tc>
        <w:tc>
          <w:tcPr>
            <w:tcW w:w="1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740" w:type="dxa"/>
            <w:vAlign w:val="bottom"/>
            <w:gridSpan w:val="2"/>
          </w:tcPr>
          <w:p>
            <w:pPr>
              <w:jc w:val="right"/>
              <w:spacing w:after="0"/>
              <w:rPr>
                <w:sz w:val="20"/>
                <w:szCs w:val="20"/>
                <w:color w:val="auto"/>
              </w:rPr>
            </w:pPr>
            <w:r>
              <w:rPr>
                <w:rFonts w:ascii="Arial" w:cs="Arial" w:eastAsia="Arial" w:hAnsi="Arial"/>
                <w:sz w:val="16"/>
                <w:szCs w:val="16"/>
                <w:b w:val="1"/>
                <w:bCs w:val="1"/>
                <w:color w:val="auto"/>
              </w:rPr>
              <w:t>100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(1,015)</w:t>
            </w:r>
          </w:p>
        </w:tc>
      </w:tr>
      <w:tr>
        <w:trPr>
          <w:trHeight w:val="21"/>
        </w:trPr>
        <w:tc>
          <w:tcPr>
            <w:tcW w:w="3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9"/>
        </w:trPr>
        <w:tc>
          <w:tcPr>
            <w:tcW w:w="31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Cost (income) of postretirement benefit</w:t>
            </w:r>
          </w:p>
        </w:tc>
        <w:tc>
          <w:tcPr>
            <w:tcW w:w="180" w:type="dxa"/>
            <w:vAlign w:val="bottom"/>
            <w:shd w:val="clear" w:color="auto" w:fill="E4E4E4"/>
          </w:tcPr>
          <w:p>
            <w:pPr>
              <w:spacing w:after="0"/>
              <w:rPr>
                <w:sz w:val="18"/>
                <w:szCs w:val="18"/>
                <w:color w:val="auto"/>
              </w:rPr>
            </w:pPr>
          </w:p>
        </w:tc>
        <w:tc>
          <w:tcPr>
            <w:tcW w:w="680" w:type="dxa"/>
            <w:vAlign w:val="bottom"/>
            <w:shd w:val="clear" w:color="auto" w:fill="E4E4E4"/>
          </w:tcPr>
          <w:p>
            <w:pPr>
              <w:spacing w:after="0"/>
              <w:rPr>
                <w:sz w:val="18"/>
                <w:szCs w:val="18"/>
                <w:color w:val="auto"/>
              </w:rPr>
            </w:pPr>
          </w:p>
        </w:tc>
        <w:tc>
          <w:tcPr>
            <w:tcW w:w="260" w:type="dxa"/>
            <w:vAlign w:val="bottom"/>
            <w:shd w:val="clear" w:color="auto" w:fill="E4E4E4"/>
          </w:tcPr>
          <w:p>
            <w:pPr>
              <w:spacing w:after="0"/>
              <w:rPr>
                <w:sz w:val="18"/>
                <w:szCs w:val="18"/>
                <w:color w:val="auto"/>
              </w:rPr>
            </w:pPr>
          </w:p>
        </w:tc>
        <w:tc>
          <w:tcPr>
            <w:tcW w:w="62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320" w:type="dxa"/>
            <w:vAlign w:val="bottom"/>
            <w:shd w:val="clear" w:color="auto" w:fill="E4E4E4"/>
          </w:tcPr>
          <w:p>
            <w:pPr>
              <w:spacing w:after="0"/>
              <w:rPr>
                <w:sz w:val="18"/>
                <w:szCs w:val="18"/>
                <w:color w:val="auto"/>
              </w:rPr>
            </w:pPr>
          </w:p>
        </w:tc>
        <w:tc>
          <w:tcPr>
            <w:tcW w:w="40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2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180" w:type="dxa"/>
            <w:vAlign w:val="bottom"/>
            <w:shd w:val="clear" w:color="auto" w:fill="E4E4E4"/>
          </w:tcPr>
          <w:p>
            <w:pPr>
              <w:spacing w:after="0"/>
              <w:rPr>
                <w:sz w:val="18"/>
                <w:szCs w:val="18"/>
                <w:color w:val="auto"/>
              </w:rPr>
            </w:pPr>
          </w:p>
        </w:tc>
        <w:tc>
          <w:tcPr>
            <w:tcW w:w="70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6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460" w:type="dxa"/>
            <w:vAlign w:val="bottom"/>
            <w:shd w:val="clear" w:color="auto" w:fill="E4E4E4"/>
          </w:tcPr>
          <w:p>
            <w:pPr>
              <w:spacing w:after="0"/>
              <w:rPr>
                <w:sz w:val="18"/>
                <w:szCs w:val="18"/>
                <w:color w:val="auto"/>
              </w:rPr>
            </w:pPr>
          </w:p>
        </w:tc>
        <w:tc>
          <w:tcPr>
            <w:tcW w:w="160" w:type="dxa"/>
            <w:vAlign w:val="bottom"/>
            <w:shd w:val="clear" w:color="auto" w:fill="E4E4E4"/>
          </w:tcPr>
          <w:p>
            <w:pPr>
              <w:spacing w:after="0"/>
              <w:rPr>
                <w:sz w:val="18"/>
                <w:szCs w:val="18"/>
                <w:color w:val="auto"/>
              </w:rPr>
            </w:pPr>
          </w:p>
        </w:tc>
        <w:tc>
          <w:tcPr>
            <w:tcW w:w="50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760" w:type="dxa"/>
            <w:vAlign w:val="bottom"/>
            <w:shd w:val="clear" w:color="auto" w:fill="E4E4E4"/>
          </w:tcPr>
          <w:p>
            <w:pPr>
              <w:spacing w:after="0"/>
              <w:rPr>
                <w:sz w:val="18"/>
                <w:szCs w:val="18"/>
                <w:color w:val="auto"/>
              </w:rPr>
            </w:pPr>
          </w:p>
        </w:tc>
      </w:tr>
      <w:tr>
        <w:trPr>
          <w:trHeight w:val="203"/>
        </w:trPr>
        <w:tc>
          <w:tcPr>
            <w:tcW w:w="316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plans and changes in other</w:t>
            </w:r>
          </w:p>
        </w:tc>
        <w:tc>
          <w:tcPr>
            <w:tcW w:w="180" w:type="dxa"/>
            <w:vAlign w:val="bottom"/>
            <w:shd w:val="clear" w:color="auto" w:fill="E4E4E4"/>
          </w:tcPr>
          <w:p>
            <w:pPr>
              <w:spacing w:after="0"/>
              <w:rPr>
                <w:sz w:val="17"/>
                <w:szCs w:val="17"/>
                <w:color w:val="auto"/>
              </w:rPr>
            </w:pPr>
          </w:p>
        </w:tc>
        <w:tc>
          <w:tcPr>
            <w:tcW w:w="680" w:type="dxa"/>
            <w:vAlign w:val="bottom"/>
            <w:shd w:val="clear" w:color="auto" w:fill="E4E4E4"/>
          </w:tcPr>
          <w:p>
            <w:pPr>
              <w:spacing w:after="0"/>
              <w:rPr>
                <w:sz w:val="17"/>
                <w:szCs w:val="17"/>
                <w:color w:val="auto"/>
              </w:rPr>
            </w:pPr>
          </w:p>
        </w:tc>
        <w:tc>
          <w:tcPr>
            <w:tcW w:w="260" w:type="dxa"/>
            <w:vAlign w:val="bottom"/>
            <w:shd w:val="clear" w:color="auto" w:fill="E4E4E4"/>
          </w:tcPr>
          <w:p>
            <w:pPr>
              <w:spacing w:after="0"/>
              <w:rPr>
                <w:sz w:val="17"/>
                <w:szCs w:val="17"/>
                <w:color w:val="auto"/>
              </w:rPr>
            </w:pPr>
          </w:p>
        </w:tc>
        <w:tc>
          <w:tcPr>
            <w:tcW w:w="620" w:type="dxa"/>
            <w:vAlign w:val="bottom"/>
            <w:shd w:val="clear" w:color="auto" w:fill="E4E4E4"/>
          </w:tcPr>
          <w:p>
            <w:pPr>
              <w:spacing w:after="0"/>
              <w:rPr>
                <w:sz w:val="17"/>
                <w:szCs w:val="17"/>
                <w:color w:val="auto"/>
              </w:rPr>
            </w:pPr>
          </w:p>
        </w:tc>
        <w:tc>
          <w:tcPr>
            <w:tcW w:w="160" w:type="dxa"/>
            <w:vAlign w:val="bottom"/>
            <w:shd w:val="clear" w:color="auto" w:fill="E4E4E4"/>
          </w:tcPr>
          <w:p>
            <w:pPr>
              <w:spacing w:after="0"/>
              <w:rPr>
                <w:sz w:val="17"/>
                <w:szCs w:val="17"/>
                <w:color w:val="auto"/>
              </w:rPr>
            </w:pPr>
          </w:p>
        </w:tc>
        <w:tc>
          <w:tcPr>
            <w:tcW w:w="320" w:type="dxa"/>
            <w:vAlign w:val="bottom"/>
            <w:shd w:val="clear" w:color="auto" w:fill="E4E4E4"/>
          </w:tcPr>
          <w:p>
            <w:pPr>
              <w:spacing w:after="0"/>
              <w:rPr>
                <w:sz w:val="17"/>
                <w:szCs w:val="17"/>
                <w:color w:val="auto"/>
              </w:rPr>
            </w:pPr>
          </w:p>
        </w:tc>
        <w:tc>
          <w:tcPr>
            <w:tcW w:w="40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460" w:type="dxa"/>
            <w:vAlign w:val="bottom"/>
            <w:shd w:val="clear" w:color="auto" w:fill="E4E4E4"/>
          </w:tcPr>
          <w:p>
            <w:pPr>
              <w:spacing w:after="0"/>
              <w:rPr>
                <w:sz w:val="17"/>
                <w:szCs w:val="17"/>
                <w:color w:val="auto"/>
              </w:rPr>
            </w:pPr>
          </w:p>
        </w:tc>
        <w:tc>
          <w:tcPr>
            <w:tcW w:w="2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180" w:type="dxa"/>
            <w:vAlign w:val="bottom"/>
            <w:shd w:val="clear" w:color="auto" w:fill="E4E4E4"/>
          </w:tcPr>
          <w:p>
            <w:pPr>
              <w:spacing w:after="0"/>
              <w:rPr>
                <w:sz w:val="17"/>
                <w:szCs w:val="17"/>
                <w:color w:val="auto"/>
              </w:rPr>
            </w:pPr>
          </w:p>
        </w:tc>
        <w:tc>
          <w:tcPr>
            <w:tcW w:w="700" w:type="dxa"/>
            <w:vAlign w:val="bottom"/>
            <w:shd w:val="clear" w:color="auto" w:fill="E4E4E4"/>
          </w:tcPr>
          <w:p>
            <w:pPr>
              <w:spacing w:after="0"/>
              <w:rPr>
                <w:sz w:val="17"/>
                <w:szCs w:val="17"/>
                <w:color w:val="auto"/>
              </w:rPr>
            </w:pPr>
          </w:p>
        </w:tc>
        <w:tc>
          <w:tcPr>
            <w:tcW w:w="120" w:type="dxa"/>
            <w:vAlign w:val="bottom"/>
            <w:shd w:val="clear" w:color="auto" w:fill="E4E4E4"/>
          </w:tcPr>
          <w:p>
            <w:pPr>
              <w:spacing w:after="0"/>
              <w:rPr>
                <w:sz w:val="17"/>
                <w:szCs w:val="17"/>
                <w:color w:val="auto"/>
              </w:rPr>
            </w:pPr>
          </w:p>
        </w:tc>
        <w:tc>
          <w:tcPr>
            <w:tcW w:w="76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60" w:type="dxa"/>
            <w:vAlign w:val="bottom"/>
            <w:shd w:val="clear" w:color="auto" w:fill="E4E4E4"/>
          </w:tcPr>
          <w:p>
            <w:pPr>
              <w:spacing w:after="0"/>
              <w:rPr>
                <w:sz w:val="17"/>
                <w:szCs w:val="17"/>
                <w:color w:val="auto"/>
              </w:rPr>
            </w:pPr>
          </w:p>
        </w:tc>
        <w:tc>
          <w:tcPr>
            <w:tcW w:w="80" w:type="dxa"/>
            <w:vAlign w:val="bottom"/>
            <w:shd w:val="clear" w:color="auto" w:fill="E4E4E4"/>
          </w:tcPr>
          <w:p>
            <w:pPr>
              <w:spacing w:after="0"/>
              <w:rPr>
                <w:sz w:val="17"/>
                <w:szCs w:val="17"/>
                <w:color w:val="auto"/>
              </w:rPr>
            </w:pPr>
          </w:p>
        </w:tc>
        <w:tc>
          <w:tcPr>
            <w:tcW w:w="460" w:type="dxa"/>
            <w:vAlign w:val="bottom"/>
            <w:shd w:val="clear" w:color="auto" w:fill="E4E4E4"/>
          </w:tcPr>
          <w:p>
            <w:pPr>
              <w:spacing w:after="0"/>
              <w:rPr>
                <w:sz w:val="17"/>
                <w:szCs w:val="17"/>
                <w:color w:val="auto"/>
              </w:rPr>
            </w:pPr>
          </w:p>
        </w:tc>
        <w:tc>
          <w:tcPr>
            <w:tcW w:w="160" w:type="dxa"/>
            <w:vAlign w:val="bottom"/>
            <w:shd w:val="clear" w:color="auto" w:fill="E4E4E4"/>
          </w:tcPr>
          <w:p>
            <w:pPr>
              <w:spacing w:after="0"/>
              <w:rPr>
                <w:sz w:val="17"/>
                <w:szCs w:val="17"/>
                <w:color w:val="auto"/>
              </w:rPr>
            </w:pPr>
          </w:p>
        </w:tc>
        <w:tc>
          <w:tcPr>
            <w:tcW w:w="500" w:type="dxa"/>
            <w:vAlign w:val="bottom"/>
            <w:shd w:val="clear" w:color="auto" w:fill="E4E4E4"/>
          </w:tcPr>
          <w:p>
            <w:pPr>
              <w:spacing w:after="0"/>
              <w:rPr>
                <w:sz w:val="17"/>
                <w:szCs w:val="17"/>
                <w:color w:val="auto"/>
              </w:rPr>
            </w:pPr>
          </w:p>
        </w:tc>
        <w:tc>
          <w:tcPr>
            <w:tcW w:w="240" w:type="dxa"/>
            <w:vAlign w:val="bottom"/>
            <w:shd w:val="clear" w:color="auto" w:fill="E4E4E4"/>
          </w:tcPr>
          <w:p>
            <w:pPr>
              <w:spacing w:after="0"/>
              <w:rPr>
                <w:sz w:val="17"/>
                <w:szCs w:val="17"/>
                <w:color w:val="auto"/>
              </w:rPr>
            </w:pPr>
          </w:p>
        </w:tc>
        <w:tc>
          <w:tcPr>
            <w:tcW w:w="140" w:type="dxa"/>
            <w:vAlign w:val="bottom"/>
            <w:shd w:val="clear" w:color="auto" w:fill="E4E4E4"/>
          </w:tcPr>
          <w:p>
            <w:pPr>
              <w:spacing w:after="0"/>
              <w:rPr>
                <w:sz w:val="17"/>
                <w:szCs w:val="17"/>
                <w:color w:val="auto"/>
              </w:rPr>
            </w:pPr>
          </w:p>
        </w:tc>
        <w:tc>
          <w:tcPr>
            <w:tcW w:w="760" w:type="dxa"/>
            <w:vAlign w:val="bottom"/>
            <w:shd w:val="clear" w:color="auto" w:fill="E4E4E4"/>
          </w:tcPr>
          <w:p>
            <w:pPr>
              <w:spacing w:after="0"/>
              <w:rPr>
                <w:sz w:val="17"/>
                <w:szCs w:val="17"/>
                <w:color w:val="auto"/>
              </w:rPr>
            </w:pPr>
          </w:p>
        </w:tc>
      </w:tr>
      <w:tr>
        <w:trPr>
          <w:trHeight w:val="224"/>
        </w:trPr>
        <w:tc>
          <w:tcPr>
            <w:tcW w:w="31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comprehensive loss (income)</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152</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b w:val="1"/>
                <w:bCs w:val="1"/>
                <w:color w:val="auto"/>
              </w:rPr>
              <w:t>$</w:t>
            </w:r>
          </w:p>
        </w:tc>
        <w:tc>
          <w:tcPr>
            <w:tcW w:w="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158</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gridSpan w:val="2"/>
            <w:shd w:val="clear" w:color="auto" w:fill="E4E4E4"/>
          </w:tcPr>
          <w:p>
            <w:pPr>
              <w:jc w:val="right"/>
              <w:spacing w:after="0"/>
              <w:rPr>
                <w:sz w:val="20"/>
                <w:szCs w:val="20"/>
                <w:color w:val="auto"/>
              </w:rPr>
            </w:pPr>
            <w:r>
              <w:rPr>
                <w:rFonts w:ascii="Arial" w:cs="Arial" w:eastAsia="Arial" w:hAnsi="Arial"/>
                <w:sz w:val="16"/>
                <w:szCs w:val="16"/>
                <w:b w:val="1"/>
                <w:bCs w:val="1"/>
                <w:color w:val="auto"/>
              </w:rPr>
              <w:t>(1,258)</w:t>
            </w:r>
          </w:p>
        </w:tc>
        <w:tc>
          <w:tcPr>
            <w:tcW w:w="280" w:type="dxa"/>
            <w:vAlign w:val="bottom"/>
            <w:tcBorders>
              <w:bottom w:val="single" w:sz="8" w:color="E4E4E4"/>
            </w:tcBorders>
            <w:gridSpan w:val="3"/>
            <w:shd w:val="clear" w:color="auto" w:fill="E4E4E4"/>
          </w:tcPr>
          <w:p>
            <w:pPr>
              <w:jc w:val="right"/>
              <w:ind w:right="80"/>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gridSpan w:val="4"/>
            <w:shd w:val="clear" w:color="auto" w:fill="E4E4E4"/>
          </w:tcPr>
          <w:p>
            <w:pPr>
              <w:jc w:val="right"/>
              <w:ind w:right="80"/>
              <w:spacing w:after="0"/>
              <w:rPr>
                <w:sz w:val="20"/>
                <w:szCs w:val="20"/>
                <w:color w:val="auto"/>
              </w:rPr>
            </w:pPr>
            <w:r>
              <w:rPr>
                <w:rFonts w:ascii="Arial" w:cs="Arial" w:eastAsia="Arial" w:hAnsi="Arial"/>
                <w:sz w:val="16"/>
                <w:szCs w:val="16"/>
                <w:b w:val="1"/>
                <w:bCs w:val="1"/>
                <w:color w:val="auto"/>
              </w:rPr>
              <w:t>35</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715</w:t>
            </w:r>
          </w:p>
        </w:tc>
        <w:tc>
          <w:tcPr>
            <w:tcW w:w="32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gridSpan w:val="3"/>
            <w:shd w:val="clear" w:color="auto" w:fill="E4E4E4"/>
          </w:tcPr>
          <w:p>
            <w:pPr>
              <w:jc w:val="right"/>
              <w:spacing w:after="0"/>
              <w:rPr>
                <w:sz w:val="20"/>
                <w:szCs w:val="20"/>
                <w:color w:val="auto"/>
              </w:rPr>
            </w:pPr>
            <w:r>
              <w:rPr>
                <w:rFonts w:ascii="Arial" w:cs="Arial" w:eastAsia="Arial" w:hAnsi="Arial"/>
                <w:sz w:val="16"/>
                <w:szCs w:val="16"/>
                <w:b w:val="1"/>
                <w:bCs w:val="1"/>
                <w:color w:val="auto"/>
              </w:rPr>
              <w:t>12</w:t>
            </w:r>
          </w:p>
        </w:tc>
        <w:tc>
          <w:tcPr>
            <w:tcW w:w="160" w:type="dxa"/>
            <w:vAlign w:val="bottom"/>
            <w:tcBorders>
              <w:bottom w:val="single" w:sz="8" w:color="E4E4E4"/>
            </w:tcBorders>
            <w:shd w:val="clear" w:color="auto" w:fill="E4E4E4"/>
          </w:tcPr>
          <w:p>
            <w:pPr>
              <w:jc w:val="center"/>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E4E4E4"/>
            </w:tcBorders>
            <w:shd w:val="clear" w:color="auto" w:fill="E4E4E4"/>
          </w:tcPr>
          <w:p>
            <w:pPr>
              <w:spacing w:after="0"/>
              <w:rPr>
                <w:sz w:val="19"/>
                <w:szCs w:val="19"/>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13</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(1,101)</w:t>
            </w:r>
          </w:p>
        </w:tc>
      </w:tr>
      <w:tr>
        <w:trPr>
          <w:trHeight w:val="20"/>
        </w:trPr>
        <w:tc>
          <w:tcPr>
            <w:tcW w:w="3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With respect to the retirement benefit balances included on our Consolidated Statement of Financial Position as of December 31, 2025, we estimate that we will amortize $108 million of net actuarial gain and $93 million of prior service credit from AOCI into Non-operating benefit (income) cost in the Consolidated Statement of Income during 2026.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40" w:type="dxa"/>
            <w:vAlign w:val="bottom"/>
          </w:tcPr>
          <w:p>
            <w:pPr>
              <w:ind w:left="20"/>
              <w:spacing w:after="0"/>
              <w:rPr>
                <w:sz w:val="20"/>
                <w:szCs w:val="20"/>
                <w:color w:val="auto"/>
              </w:rPr>
            </w:pPr>
            <w:r>
              <w:rPr>
                <w:rFonts w:ascii="Arial" w:cs="Arial" w:eastAsia="Arial" w:hAnsi="Arial"/>
                <w:sz w:val="16"/>
                <w:szCs w:val="16"/>
                <w:b w:val="1"/>
                <w:bCs w:val="1"/>
                <w:color w:val="auto"/>
              </w:rPr>
              <w:t>Components of Expense (Income)</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57"/>
        </w:trPr>
        <w:tc>
          <w:tcPr>
            <w:tcW w:w="3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U.S. Plans</w:t>
            </w: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20" w:type="dxa"/>
            <w:vAlign w:val="bottom"/>
            <w:gridSpan w:val="6"/>
          </w:tcPr>
          <w:p>
            <w:pPr>
              <w:ind w:left="400"/>
              <w:spacing w:after="0"/>
              <w:rPr>
                <w:sz w:val="20"/>
                <w:szCs w:val="20"/>
                <w:color w:val="auto"/>
              </w:rPr>
            </w:pPr>
            <w:r>
              <w:rPr>
                <w:rFonts w:ascii="Arial" w:cs="Arial" w:eastAsia="Arial" w:hAnsi="Arial"/>
                <w:sz w:val="16"/>
                <w:szCs w:val="16"/>
                <w:b w:val="1"/>
                <w:bCs w:val="1"/>
                <w:color w:val="454545"/>
              </w:rPr>
              <w:t>International Plans</w:t>
            </w:r>
          </w:p>
        </w:tc>
        <w:tc>
          <w:tcPr>
            <w:tcW w:w="200" w:type="dxa"/>
            <w:vAlign w:val="bottom"/>
          </w:tcPr>
          <w:p>
            <w:pPr>
              <w:spacing w:after="0"/>
              <w:rPr>
                <w:sz w:val="22"/>
                <w:szCs w:val="22"/>
                <w:color w:val="auto"/>
              </w:rPr>
            </w:pPr>
          </w:p>
        </w:tc>
        <w:tc>
          <w:tcPr>
            <w:tcW w:w="1740" w:type="dxa"/>
            <w:vAlign w:val="bottom"/>
            <w:gridSpan w:val="4"/>
          </w:tcPr>
          <w:p>
            <w:pPr>
              <w:jc w:val="right"/>
              <w:ind w:right="59"/>
              <w:spacing w:after="0"/>
              <w:rPr>
                <w:sz w:val="20"/>
                <w:szCs w:val="20"/>
                <w:color w:val="auto"/>
              </w:rPr>
            </w:pPr>
            <w:r>
              <w:rPr>
                <w:rFonts w:ascii="Arial" w:cs="Arial" w:eastAsia="Arial" w:hAnsi="Arial"/>
                <w:sz w:val="16"/>
                <w:szCs w:val="16"/>
                <w:b w:val="1"/>
                <w:bCs w:val="1"/>
                <w:color w:val="454545"/>
              </w:rPr>
              <w:t>OPEB Plans</w:t>
            </w:r>
          </w:p>
        </w:tc>
        <w:tc>
          <w:tcPr>
            <w:tcW w:w="700" w:type="dxa"/>
            <w:vAlign w:val="bottom"/>
          </w:tcPr>
          <w:p>
            <w:pPr>
              <w:spacing w:after="0"/>
              <w:rPr>
                <w:sz w:val="22"/>
                <w:szCs w:val="22"/>
                <w:color w:val="auto"/>
              </w:rPr>
            </w:pPr>
          </w:p>
        </w:tc>
      </w:tr>
      <w:tr>
        <w:trPr>
          <w:trHeight w:val="21"/>
        </w:trPr>
        <w:tc>
          <w:tcPr>
            <w:tcW w:w="314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2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68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700" w:type="dxa"/>
            <w:vAlign w:val="bottom"/>
            <w:tcBorders>
              <w:bottom w:val="single" w:sz="8" w:color="454545"/>
            </w:tcBorders>
          </w:tcPr>
          <w:p>
            <w:pPr>
              <w:spacing w:after="0" w:line="20" w:lineRule="exact"/>
              <w:rPr>
                <w:sz w:val="1"/>
                <w:szCs w:val="1"/>
                <w:color w:val="auto"/>
              </w:rPr>
            </w:pPr>
          </w:p>
        </w:tc>
      </w:tr>
      <w:tr>
        <w:trPr>
          <w:trHeight w:val="229"/>
        </w:trPr>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20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180" w:type="dxa"/>
            <w:vAlign w:val="bottom"/>
          </w:tcPr>
          <w:p>
            <w:pPr>
              <w:spacing w:after="0"/>
              <w:rPr>
                <w:sz w:val="19"/>
                <w:szCs w:val="19"/>
                <w:color w:val="auto"/>
              </w:rPr>
            </w:pPr>
          </w:p>
        </w:tc>
        <w:tc>
          <w:tcPr>
            <w:tcW w:w="72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2025</w:t>
            </w:r>
          </w:p>
        </w:tc>
        <w:tc>
          <w:tcPr>
            <w:tcW w:w="20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454545"/>
              </w:rPr>
              <w:t>2024</w:t>
            </w:r>
          </w:p>
        </w:tc>
        <w:tc>
          <w:tcPr>
            <w:tcW w:w="200" w:type="dxa"/>
            <w:vAlign w:val="bottom"/>
          </w:tcPr>
          <w:p>
            <w:pPr>
              <w:spacing w:after="0"/>
              <w:rPr>
                <w:sz w:val="19"/>
                <w:szCs w:val="19"/>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w:t>
            </w:r>
          </w:p>
        </w:tc>
        <w:tc>
          <w:tcPr>
            <w:tcW w:w="18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2024</w:t>
            </w:r>
          </w:p>
        </w:tc>
        <w:tc>
          <w:tcPr>
            <w:tcW w:w="180" w:type="dxa"/>
            <w:vAlign w:val="bottom"/>
          </w:tcPr>
          <w:p>
            <w:pPr>
              <w:spacing w:after="0"/>
              <w:rPr>
                <w:sz w:val="19"/>
                <w:szCs w:val="19"/>
                <w:color w:val="auto"/>
              </w:rPr>
            </w:pPr>
          </w:p>
        </w:tc>
        <w:tc>
          <w:tcPr>
            <w:tcW w:w="70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r>
      <w:tr>
        <w:trPr>
          <w:trHeight w:val="21"/>
        </w:trPr>
        <w:tc>
          <w:tcPr>
            <w:tcW w:w="314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72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200" w:type="dxa"/>
            <w:vAlign w:val="bottom"/>
            <w:tcBorders>
              <w:bottom w:val="single" w:sz="8" w:color="6022A6"/>
            </w:tcBorders>
          </w:tcPr>
          <w:p>
            <w:pPr>
              <w:spacing w:after="0" w:line="20" w:lineRule="exact"/>
              <w:rPr>
                <w:sz w:val="1"/>
                <w:szCs w:val="1"/>
                <w:color w:val="auto"/>
              </w:rPr>
            </w:pPr>
          </w:p>
        </w:tc>
        <w:tc>
          <w:tcPr>
            <w:tcW w:w="68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700" w:type="dxa"/>
            <w:vAlign w:val="bottom"/>
            <w:tcBorders>
              <w:bottom w:val="single" w:sz="8" w:color="6022A6"/>
            </w:tcBorders>
          </w:tcPr>
          <w:p>
            <w:pPr>
              <w:spacing w:after="0" w:line="20" w:lineRule="exact"/>
              <w:rPr>
                <w:sz w:val="1"/>
                <w:szCs w:val="1"/>
                <w:color w:val="auto"/>
              </w:rPr>
            </w:pPr>
          </w:p>
        </w:tc>
      </w:tr>
      <w:tr>
        <w:trPr>
          <w:trHeight w:val="230"/>
        </w:trPr>
        <w:tc>
          <w:tcPr>
            <w:tcW w:w="3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Service cost – Operating</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35</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w:t>
            </w:r>
          </w:p>
        </w:tc>
      </w:tr>
      <w:tr>
        <w:trPr>
          <w:trHeight w:val="228"/>
        </w:trPr>
        <w:tc>
          <w:tcPr>
            <w:tcW w:w="31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970</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151</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141</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9"/>
        </w:trPr>
        <w:tc>
          <w:tcPr>
            <w:tcW w:w="3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6"/>
        </w:trPr>
        <w:tc>
          <w:tcPr>
            <w:tcW w:w="3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Expected return on plan assets</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(1,145)</w:t>
            </w:r>
          </w:p>
        </w:tc>
        <w:tc>
          <w:tcPr>
            <w:tcW w:w="20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(1,196)</w:t>
            </w:r>
          </w:p>
        </w:tc>
        <w:tc>
          <w:tcPr>
            <w:tcW w:w="18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(1,242)</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(152)</w:t>
            </w:r>
          </w:p>
        </w:tc>
        <w:tc>
          <w:tcPr>
            <w:tcW w:w="20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(193)</w:t>
            </w:r>
          </w:p>
        </w:tc>
        <w:tc>
          <w:tcPr>
            <w:tcW w:w="20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(184)</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3140" w:type="dxa"/>
            <w:vAlign w:val="bottom"/>
          </w:tcPr>
          <w:p>
            <w:pPr>
              <w:ind w:left="20"/>
              <w:spacing w:after="0"/>
              <w:rPr>
                <w:sz w:val="20"/>
                <w:szCs w:val="20"/>
                <w:color w:val="auto"/>
              </w:rPr>
            </w:pPr>
            <w:r>
              <w:rPr>
                <w:rFonts w:ascii="Arial" w:cs="Arial" w:eastAsia="Arial" w:hAnsi="Arial"/>
                <w:sz w:val="16"/>
                <w:szCs w:val="16"/>
                <w:color w:val="auto"/>
              </w:rPr>
              <w:t>Amortization of net loss (gain)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9"/>
        </w:trPr>
        <w:tc>
          <w:tcPr>
            <w:tcW w:w="3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6"/>
        </w:trPr>
        <w:tc>
          <w:tcPr>
            <w:tcW w:w="3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c>
          <w:tcPr>
            <w:tcW w:w="20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w:t>
            </w:r>
          </w:p>
        </w:tc>
        <w:tc>
          <w:tcPr>
            <w:tcW w:w="18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20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E4E4E4"/>
            </w:tcBorders>
            <w:shd w:val="clear" w:color="auto" w:fill="E4E4E4"/>
          </w:tcPr>
          <w:p>
            <w:pPr>
              <w:spacing w:after="0"/>
              <w:rPr>
                <w:sz w:val="20"/>
                <w:szCs w:val="20"/>
                <w:color w:val="auto"/>
              </w:rPr>
            </w:pPr>
          </w:p>
        </w:tc>
        <w:tc>
          <w:tcPr>
            <w:tcW w:w="20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(87)</w:t>
            </w:r>
          </w:p>
        </w:tc>
      </w:tr>
      <w:tr>
        <w:trPr>
          <w:trHeight w:val="228"/>
        </w:trPr>
        <w:tc>
          <w:tcPr>
            <w:tcW w:w="3140" w:type="dxa"/>
            <w:vAlign w:val="bottom"/>
          </w:tcPr>
          <w:p>
            <w:pPr>
              <w:ind w:left="20"/>
              <w:spacing w:after="0"/>
              <w:rPr>
                <w:sz w:val="20"/>
                <w:szCs w:val="20"/>
                <w:color w:val="auto"/>
              </w:rPr>
            </w:pPr>
            <w:r>
              <w:rPr>
                <w:rFonts w:ascii="Arial" w:cs="Arial" w:eastAsia="Arial" w:hAnsi="Arial"/>
                <w:sz w:val="16"/>
                <w:szCs w:val="16"/>
                <w:color w:val="auto"/>
              </w:rPr>
              <w:t>Curtailment loss (gain)</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6"/>
        </w:trPr>
        <w:tc>
          <w:tcPr>
            <w:tcW w:w="3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Settlement loss (gain)</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8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3140" w:type="dxa"/>
            <w:vAlign w:val="bottom"/>
          </w:tcPr>
          <w:p>
            <w:pPr>
              <w:ind w:left="20"/>
              <w:spacing w:after="0"/>
              <w:rPr>
                <w:sz w:val="20"/>
                <w:szCs w:val="20"/>
                <w:color w:val="auto"/>
              </w:rPr>
            </w:pPr>
            <w:r>
              <w:rPr>
                <w:rFonts w:ascii="Arial" w:cs="Arial" w:eastAsia="Arial" w:hAnsi="Arial"/>
                <w:sz w:val="16"/>
                <w:szCs w:val="16"/>
                <w:color w:val="auto"/>
              </w:rPr>
              <w:t>Special termination cost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3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31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Non-operating</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(222)</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(285)</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(259)</w:t>
            </w:r>
          </w:p>
        </w:tc>
        <w:tc>
          <w:tcPr>
            <w:tcW w:w="80" w:type="dxa"/>
            <w:vAlign w:val="bottom"/>
            <w:tcBorders>
              <w:bottom w:val="single" w:sz="8" w:color="E4E4E4"/>
            </w:tcBorders>
            <w:shd w:val="clear" w:color="auto" w:fill="E4E4E4"/>
          </w:tcPr>
          <w:p>
            <w:pPr>
              <w:spacing w:after="0"/>
              <w:rPr>
                <w:sz w:val="21"/>
                <w:szCs w:val="21"/>
                <w:color w:val="auto"/>
              </w:rPr>
            </w:pP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c>
          <w:tcPr>
            <w:tcW w:w="8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(92)</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(94)</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(92)</w:t>
            </w:r>
          </w:p>
        </w:tc>
      </w:tr>
      <w:tr>
        <w:trPr>
          <w:trHeight w:val="229"/>
        </w:trPr>
        <w:tc>
          <w:tcPr>
            <w:tcW w:w="31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Net periodic expense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(224)</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(86)</w:t>
            </w:r>
          </w:p>
        </w:tc>
      </w:tr>
      <w:tr>
        <w:trPr>
          <w:trHeight w:val="21"/>
        </w:trPr>
        <w:tc>
          <w:tcPr>
            <w:tcW w:w="3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 2023, management approved an amendment to the U.S. based GE HealthCare Pension Plan whereby the benefits for all remaining active employees were frozen effective December 31, 2024, and additional benefit enhancements were provided. As a result, we recognized a non-cash pre-tax curtailment loss of approximately $17 million as non-operating benefit costs and an increase to our pension liability of $23 million in the year ended December 31, 2023. As a result of the plan changes, we remeasured the plan assets and the projected benefit obligation. These changes collectively decreased AOCI by $305 million as of December 31, 2023.</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Also in 2023, management approved and paid a one-time lump sum payment for certain terminated employees in two plans who were vested in their benefits. These lump sum settlements reduce our future cash requirements. As a result of the partial settlement of the pension liability, we recognized a non-cash pre-tax settlement charge in the year ended December 31, 2023. The settlement charge of $61 million represents a pro rata portion of unrecognized net loss recorded in AOCI and is recorded in Non-operating benefit (income) costs in the Consolidated Statement of Income.</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Assumptions</w:t>
            </w: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7"/>
        </w:trPr>
        <w:tc>
          <w:tcPr>
            <w:tcW w:w="28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454545"/>
              </w:rPr>
              <w:t>U.S. Plans</w:t>
            </w: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International Plans</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454545"/>
                <w:w w:val="99"/>
              </w:rPr>
              <w:t>OPEB Plans</w:t>
            </w:r>
          </w:p>
        </w:tc>
        <w:tc>
          <w:tcPr>
            <w:tcW w:w="780" w:type="dxa"/>
            <w:vAlign w:val="bottom"/>
          </w:tcPr>
          <w:p>
            <w:pPr>
              <w:spacing w:after="0"/>
              <w:rPr>
                <w:sz w:val="22"/>
                <w:szCs w:val="22"/>
                <w:color w:val="auto"/>
              </w:rPr>
            </w:pPr>
          </w:p>
        </w:tc>
      </w:tr>
      <w:tr>
        <w:trPr>
          <w:trHeight w:val="21"/>
        </w:trPr>
        <w:tc>
          <w:tcPr>
            <w:tcW w:w="2820" w:type="dxa"/>
            <w:vAlign w:val="bottom"/>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780" w:type="dxa"/>
            <w:vAlign w:val="bottom"/>
            <w:tcBorders>
              <w:bottom w:val="single" w:sz="8" w:color="454545"/>
            </w:tcBorders>
          </w:tcPr>
          <w:p>
            <w:pPr>
              <w:spacing w:after="0" w:line="20" w:lineRule="exact"/>
              <w:rPr>
                <w:sz w:val="1"/>
                <w:szCs w:val="1"/>
                <w:color w:val="auto"/>
              </w:rPr>
            </w:pPr>
          </w:p>
        </w:tc>
      </w:tr>
      <w:tr>
        <w:trPr>
          <w:trHeight w:val="229"/>
        </w:trPr>
        <w:tc>
          <w:tcPr>
            <w:tcW w:w="2820" w:type="dxa"/>
            <w:vAlign w:val="bottom"/>
          </w:tcPr>
          <w:p>
            <w:pPr>
              <w:spacing w:after="0"/>
              <w:rPr>
                <w:sz w:val="19"/>
                <w:szCs w:val="19"/>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454545"/>
              </w:rPr>
              <w:t>2025</w:t>
            </w:r>
          </w:p>
        </w:tc>
        <w:tc>
          <w:tcPr>
            <w:tcW w:w="102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2024</w:t>
            </w:r>
          </w:p>
        </w:tc>
        <w:tc>
          <w:tcPr>
            <w:tcW w:w="78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2023</w:t>
            </w:r>
          </w:p>
        </w:tc>
        <w:tc>
          <w:tcPr>
            <w:tcW w:w="100" w:type="dxa"/>
            <w:vAlign w:val="bottom"/>
          </w:tcPr>
          <w:p>
            <w:pPr>
              <w:spacing w:after="0"/>
              <w:rPr>
                <w:sz w:val="19"/>
                <w:szCs w:val="19"/>
                <w:color w:val="auto"/>
              </w:rPr>
            </w:pPr>
          </w:p>
        </w:tc>
        <w:tc>
          <w:tcPr>
            <w:tcW w:w="1040" w:type="dxa"/>
            <w:vAlign w:val="bottom"/>
          </w:tcPr>
          <w:p>
            <w:pPr>
              <w:jc w:val="right"/>
              <w:ind w:right="319"/>
              <w:spacing w:after="0"/>
              <w:rPr>
                <w:sz w:val="20"/>
                <w:szCs w:val="20"/>
                <w:color w:val="auto"/>
              </w:rPr>
            </w:pPr>
            <w:r>
              <w:rPr>
                <w:rFonts w:ascii="Arial" w:cs="Arial" w:eastAsia="Arial" w:hAnsi="Arial"/>
                <w:sz w:val="16"/>
                <w:szCs w:val="16"/>
                <w:b w:val="1"/>
                <w:bCs w:val="1"/>
                <w:color w:val="454545"/>
              </w:rPr>
              <w:t>2025</w:t>
            </w:r>
          </w:p>
        </w:tc>
        <w:tc>
          <w:tcPr>
            <w:tcW w:w="106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2024</w:t>
            </w:r>
          </w:p>
        </w:tc>
        <w:tc>
          <w:tcPr>
            <w:tcW w:w="640" w:type="dxa"/>
            <w:vAlign w:val="bottom"/>
          </w:tcPr>
          <w:p>
            <w:pPr>
              <w:jc w:val="right"/>
              <w:ind w:right="199"/>
              <w:spacing w:after="0"/>
              <w:rPr>
                <w:sz w:val="20"/>
                <w:szCs w:val="20"/>
                <w:color w:val="auto"/>
              </w:rPr>
            </w:pPr>
            <w:r>
              <w:rPr>
                <w:rFonts w:ascii="Arial" w:cs="Arial" w:eastAsia="Arial" w:hAnsi="Arial"/>
                <w:sz w:val="16"/>
                <w:szCs w:val="16"/>
                <w:b w:val="1"/>
                <w:bCs w:val="1"/>
                <w:color w:val="454545"/>
                <w:w w:val="95"/>
              </w:rPr>
              <w:t>2023</w:t>
            </w:r>
          </w:p>
        </w:tc>
        <w:tc>
          <w:tcPr>
            <w:tcW w:w="80" w:type="dxa"/>
            <w:vAlign w:val="bottom"/>
          </w:tcPr>
          <w:p>
            <w:pPr>
              <w:spacing w:after="0"/>
              <w:rPr>
                <w:sz w:val="19"/>
                <w:szCs w:val="19"/>
                <w:color w:val="auto"/>
              </w:rPr>
            </w:pPr>
          </w:p>
        </w:tc>
        <w:tc>
          <w:tcPr>
            <w:tcW w:w="92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2025</w:t>
            </w: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2024</w:t>
            </w:r>
          </w:p>
        </w:tc>
        <w:tc>
          <w:tcPr>
            <w:tcW w:w="780" w:type="dxa"/>
            <w:vAlign w:val="bottom"/>
          </w:tcPr>
          <w:p>
            <w:pPr>
              <w:jc w:val="right"/>
              <w:ind w:right="199"/>
              <w:spacing w:after="0"/>
              <w:rPr>
                <w:sz w:val="20"/>
                <w:szCs w:val="20"/>
                <w:color w:val="auto"/>
              </w:rPr>
            </w:pPr>
            <w:r>
              <w:rPr>
                <w:rFonts w:ascii="Arial" w:cs="Arial" w:eastAsia="Arial" w:hAnsi="Arial"/>
                <w:sz w:val="16"/>
                <w:szCs w:val="16"/>
                <w:b w:val="1"/>
                <w:bCs w:val="1"/>
                <w:color w:val="454545"/>
              </w:rPr>
              <w:t>2023</w:t>
            </w:r>
          </w:p>
        </w:tc>
      </w:tr>
      <w:tr>
        <w:trPr>
          <w:trHeight w:val="21"/>
        </w:trPr>
        <w:tc>
          <w:tcPr>
            <w:tcW w:w="282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102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c>
          <w:tcPr>
            <w:tcW w:w="10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780" w:type="dxa"/>
            <w:vAlign w:val="bottom"/>
            <w:tcBorders>
              <w:bottom w:val="single" w:sz="8" w:color="6022A6"/>
            </w:tcBorders>
          </w:tcPr>
          <w:p>
            <w:pPr>
              <w:spacing w:after="0" w:line="20" w:lineRule="exact"/>
              <w:rPr>
                <w:sz w:val="1"/>
                <w:szCs w:val="1"/>
                <w:color w:val="auto"/>
              </w:rPr>
            </w:pPr>
          </w:p>
        </w:tc>
      </w:tr>
      <w:tr>
        <w:trPr>
          <w:trHeight w:val="209"/>
        </w:trPr>
        <w:tc>
          <w:tcPr>
            <w:tcW w:w="28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Weighted-average benefit</w:t>
            </w:r>
          </w:p>
        </w:tc>
        <w:tc>
          <w:tcPr>
            <w:tcW w:w="940" w:type="dxa"/>
            <w:vAlign w:val="bottom"/>
            <w:shd w:val="clear" w:color="auto" w:fill="E4E4E4"/>
          </w:tcPr>
          <w:p>
            <w:pPr>
              <w:spacing w:after="0"/>
              <w:rPr>
                <w:sz w:val="18"/>
                <w:szCs w:val="18"/>
                <w:color w:val="auto"/>
              </w:rPr>
            </w:pPr>
          </w:p>
        </w:tc>
        <w:tc>
          <w:tcPr>
            <w:tcW w:w="1020" w:type="dxa"/>
            <w:vAlign w:val="bottom"/>
            <w:shd w:val="clear" w:color="auto" w:fill="E4E4E4"/>
          </w:tcPr>
          <w:p>
            <w:pPr>
              <w:spacing w:after="0"/>
              <w:rPr>
                <w:sz w:val="18"/>
                <w:szCs w:val="18"/>
                <w:color w:val="auto"/>
              </w:rPr>
            </w:pPr>
          </w:p>
        </w:tc>
        <w:tc>
          <w:tcPr>
            <w:tcW w:w="78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040" w:type="dxa"/>
            <w:vAlign w:val="bottom"/>
            <w:shd w:val="clear" w:color="auto" w:fill="E4E4E4"/>
          </w:tcPr>
          <w:p>
            <w:pPr>
              <w:spacing w:after="0"/>
              <w:rPr>
                <w:sz w:val="18"/>
                <w:szCs w:val="18"/>
                <w:color w:val="auto"/>
              </w:rPr>
            </w:pPr>
          </w:p>
        </w:tc>
        <w:tc>
          <w:tcPr>
            <w:tcW w:w="1060" w:type="dxa"/>
            <w:vAlign w:val="bottom"/>
            <w:shd w:val="clear" w:color="auto" w:fill="E4E4E4"/>
          </w:tcPr>
          <w:p>
            <w:pPr>
              <w:spacing w:after="0"/>
              <w:rPr>
                <w:sz w:val="18"/>
                <w:szCs w:val="18"/>
                <w:color w:val="auto"/>
              </w:rPr>
            </w:pPr>
          </w:p>
        </w:tc>
        <w:tc>
          <w:tcPr>
            <w:tcW w:w="640" w:type="dxa"/>
            <w:vAlign w:val="bottom"/>
            <w:shd w:val="clear" w:color="auto" w:fill="E4E4E4"/>
          </w:tcPr>
          <w:p>
            <w:pPr>
              <w:spacing w:after="0"/>
              <w:rPr>
                <w:sz w:val="18"/>
                <w:szCs w:val="18"/>
                <w:color w:val="auto"/>
              </w:rPr>
            </w:pPr>
          </w:p>
        </w:tc>
        <w:tc>
          <w:tcPr>
            <w:tcW w:w="80" w:type="dxa"/>
            <w:vAlign w:val="bottom"/>
            <w:shd w:val="clear" w:color="auto" w:fill="E4E4E4"/>
          </w:tcPr>
          <w:p>
            <w:pPr>
              <w:spacing w:after="0"/>
              <w:rPr>
                <w:sz w:val="18"/>
                <w:szCs w:val="18"/>
                <w:color w:val="auto"/>
              </w:rPr>
            </w:pPr>
          </w:p>
        </w:tc>
        <w:tc>
          <w:tcPr>
            <w:tcW w:w="920" w:type="dxa"/>
            <w:vAlign w:val="bottom"/>
            <w:shd w:val="clear" w:color="auto" w:fill="E4E4E4"/>
          </w:tcPr>
          <w:p>
            <w:pPr>
              <w:spacing w:after="0"/>
              <w:rPr>
                <w:sz w:val="18"/>
                <w:szCs w:val="18"/>
                <w:color w:val="auto"/>
              </w:rPr>
            </w:pPr>
          </w:p>
        </w:tc>
        <w:tc>
          <w:tcPr>
            <w:tcW w:w="1060" w:type="dxa"/>
            <w:vAlign w:val="bottom"/>
            <w:shd w:val="clear" w:color="auto" w:fill="E4E4E4"/>
          </w:tcPr>
          <w:p>
            <w:pPr>
              <w:spacing w:after="0"/>
              <w:rPr>
                <w:sz w:val="18"/>
                <w:szCs w:val="18"/>
                <w:color w:val="auto"/>
              </w:rPr>
            </w:pPr>
          </w:p>
        </w:tc>
        <w:tc>
          <w:tcPr>
            <w:tcW w:w="780" w:type="dxa"/>
            <w:vAlign w:val="bottom"/>
            <w:shd w:val="clear" w:color="auto" w:fill="E4E4E4"/>
          </w:tcPr>
          <w:p>
            <w:pPr>
              <w:spacing w:after="0"/>
              <w:rPr>
                <w:sz w:val="18"/>
                <w:szCs w:val="18"/>
                <w:color w:val="auto"/>
              </w:rPr>
            </w:pPr>
          </w:p>
        </w:tc>
      </w:tr>
      <w:tr>
        <w:trPr>
          <w:trHeight w:val="224"/>
        </w:trPr>
        <w:tc>
          <w:tcPr>
            <w:tcW w:w="2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obligations assumptions</w:t>
            </w:r>
          </w:p>
        </w:tc>
        <w:tc>
          <w:tcPr>
            <w:tcW w:w="940" w:type="dxa"/>
            <w:vAlign w:val="bottom"/>
            <w:tcBorders>
              <w:bottom w:val="single" w:sz="8" w:color="E4E4E4"/>
            </w:tcBorders>
            <w:shd w:val="clear" w:color="auto" w:fill="E4E4E4"/>
          </w:tcPr>
          <w:p>
            <w:pPr>
              <w:spacing w:after="0"/>
              <w:rPr>
                <w:sz w:val="19"/>
                <w:szCs w:val="19"/>
                <w:color w:val="auto"/>
              </w:rPr>
            </w:pPr>
          </w:p>
        </w:tc>
        <w:tc>
          <w:tcPr>
            <w:tcW w:w="1020" w:type="dxa"/>
            <w:vAlign w:val="bottom"/>
            <w:tcBorders>
              <w:bottom w:val="single" w:sz="8" w:color="E4E4E4"/>
            </w:tcBorders>
            <w:shd w:val="clear" w:color="auto" w:fill="E4E4E4"/>
          </w:tcPr>
          <w:p>
            <w:pPr>
              <w:spacing w:after="0"/>
              <w:rPr>
                <w:sz w:val="19"/>
                <w:szCs w:val="19"/>
                <w:color w:val="auto"/>
              </w:rPr>
            </w:pPr>
          </w:p>
        </w:tc>
        <w:tc>
          <w:tcPr>
            <w:tcW w:w="780" w:type="dxa"/>
            <w:vAlign w:val="bottom"/>
            <w:tcBorders>
              <w:bottom w:val="single" w:sz="8" w:color="E4E4E4"/>
            </w:tcBorders>
            <w:shd w:val="clear" w:color="auto" w:fill="E4E4E4"/>
          </w:tcPr>
          <w:p>
            <w:pPr>
              <w:spacing w:after="0"/>
              <w:rPr>
                <w:sz w:val="19"/>
                <w:szCs w:val="19"/>
                <w:color w:val="auto"/>
              </w:rPr>
            </w:pPr>
          </w:p>
        </w:tc>
        <w:tc>
          <w:tcPr>
            <w:tcW w:w="100" w:type="dxa"/>
            <w:vAlign w:val="bottom"/>
            <w:tcBorders>
              <w:bottom w:val="single" w:sz="8" w:color="E4E4E4"/>
            </w:tcBorders>
            <w:shd w:val="clear" w:color="auto" w:fill="E4E4E4"/>
          </w:tcPr>
          <w:p>
            <w:pPr>
              <w:spacing w:after="0"/>
              <w:rPr>
                <w:sz w:val="19"/>
                <w:szCs w:val="19"/>
                <w:color w:val="auto"/>
              </w:rPr>
            </w:pPr>
          </w:p>
        </w:tc>
        <w:tc>
          <w:tcPr>
            <w:tcW w:w="1040" w:type="dxa"/>
            <w:vAlign w:val="bottom"/>
            <w:tcBorders>
              <w:bottom w:val="single" w:sz="8" w:color="E4E4E4"/>
            </w:tcBorders>
            <w:shd w:val="clear" w:color="auto" w:fill="E4E4E4"/>
          </w:tcPr>
          <w:p>
            <w:pPr>
              <w:spacing w:after="0"/>
              <w:rPr>
                <w:sz w:val="19"/>
                <w:szCs w:val="19"/>
                <w:color w:val="auto"/>
              </w:rPr>
            </w:pPr>
          </w:p>
        </w:tc>
        <w:tc>
          <w:tcPr>
            <w:tcW w:w="1060" w:type="dxa"/>
            <w:vAlign w:val="bottom"/>
            <w:tcBorders>
              <w:bottom w:val="single" w:sz="8" w:color="E4E4E4"/>
            </w:tcBorders>
            <w:shd w:val="clear" w:color="auto" w:fill="E4E4E4"/>
          </w:tcPr>
          <w:p>
            <w:pPr>
              <w:spacing w:after="0"/>
              <w:rPr>
                <w:sz w:val="19"/>
                <w:szCs w:val="19"/>
                <w:color w:val="auto"/>
              </w:rPr>
            </w:pPr>
          </w:p>
        </w:tc>
        <w:tc>
          <w:tcPr>
            <w:tcW w:w="640" w:type="dxa"/>
            <w:vAlign w:val="bottom"/>
            <w:tcBorders>
              <w:bottom w:val="single" w:sz="8" w:color="E4E4E4"/>
            </w:tcBorders>
            <w:shd w:val="clear" w:color="auto" w:fill="E4E4E4"/>
          </w:tcPr>
          <w:p>
            <w:pPr>
              <w:spacing w:after="0"/>
              <w:rPr>
                <w:sz w:val="19"/>
                <w:szCs w:val="19"/>
                <w:color w:val="auto"/>
              </w:rPr>
            </w:pPr>
          </w:p>
        </w:tc>
        <w:tc>
          <w:tcPr>
            <w:tcW w:w="80" w:type="dxa"/>
            <w:vAlign w:val="bottom"/>
            <w:tcBorders>
              <w:bottom w:val="single" w:sz="8" w:color="E4E4E4"/>
            </w:tcBorders>
            <w:shd w:val="clear" w:color="auto" w:fill="E4E4E4"/>
          </w:tcPr>
          <w:p>
            <w:pPr>
              <w:spacing w:after="0"/>
              <w:rPr>
                <w:sz w:val="19"/>
                <w:szCs w:val="19"/>
                <w:color w:val="auto"/>
              </w:rPr>
            </w:pPr>
          </w:p>
        </w:tc>
        <w:tc>
          <w:tcPr>
            <w:tcW w:w="920" w:type="dxa"/>
            <w:vAlign w:val="bottom"/>
            <w:tcBorders>
              <w:bottom w:val="single" w:sz="8" w:color="E4E4E4"/>
            </w:tcBorders>
            <w:shd w:val="clear" w:color="auto" w:fill="E4E4E4"/>
          </w:tcPr>
          <w:p>
            <w:pPr>
              <w:spacing w:after="0"/>
              <w:rPr>
                <w:sz w:val="19"/>
                <w:szCs w:val="19"/>
                <w:color w:val="auto"/>
              </w:rPr>
            </w:pPr>
          </w:p>
        </w:tc>
        <w:tc>
          <w:tcPr>
            <w:tcW w:w="1060" w:type="dxa"/>
            <w:vAlign w:val="bottom"/>
            <w:tcBorders>
              <w:bottom w:val="single" w:sz="8" w:color="E4E4E4"/>
            </w:tcBorders>
            <w:shd w:val="clear" w:color="auto" w:fill="E4E4E4"/>
          </w:tcPr>
          <w:p>
            <w:pPr>
              <w:spacing w:after="0"/>
              <w:rPr>
                <w:sz w:val="19"/>
                <w:szCs w:val="19"/>
                <w:color w:val="auto"/>
              </w:rPr>
            </w:pPr>
          </w:p>
        </w:tc>
        <w:tc>
          <w:tcPr>
            <w:tcW w:w="780" w:type="dxa"/>
            <w:vAlign w:val="bottom"/>
            <w:tcBorders>
              <w:bottom w:val="single" w:sz="8" w:color="E4E4E4"/>
            </w:tcBorders>
            <w:shd w:val="clear" w:color="auto" w:fill="E4E4E4"/>
          </w:tcPr>
          <w:p>
            <w:pPr>
              <w:spacing w:after="0"/>
              <w:rPr>
                <w:sz w:val="19"/>
                <w:szCs w:val="19"/>
                <w:color w:val="auto"/>
              </w:rPr>
            </w:pPr>
          </w:p>
        </w:tc>
      </w:tr>
      <w:tr>
        <w:trPr>
          <w:trHeight w:val="228"/>
        </w:trPr>
        <w:tc>
          <w:tcPr>
            <w:tcW w:w="2820" w:type="dxa"/>
            <w:vAlign w:val="bottom"/>
          </w:tcPr>
          <w:p>
            <w:pPr>
              <w:ind w:left="20"/>
              <w:spacing w:after="0"/>
              <w:rPr>
                <w:sz w:val="20"/>
                <w:szCs w:val="20"/>
                <w:color w:val="auto"/>
              </w:rPr>
            </w:pPr>
            <w:r>
              <w:rPr>
                <w:rFonts w:ascii="Arial" w:cs="Arial" w:eastAsia="Arial" w:hAnsi="Arial"/>
                <w:sz w:val="16"/>
                <w:szCs w:val="16"/>
                <w:color w:val="auto"/>
              </w:rPr>
              <w:t>Discount rate</w:t>
            </w:r>
          </w:p>
        </w:tc>
        <w:tc>
          <w:tcPr>
            <w:tcW w:w="940" w:type="dxa"/>
            <w:vAlign w:val="bottom"/>
          </w:tcPr>
          <w:p>
            <w:pPr>
              <w:jc w:val="right"/>
              <w:spacing w:after="0"/>
              <w:rPr>
                <w:sz w:val="20"/>
                <w:szCs w:val="20"/>
                <w:color w:val="auto"/>
              </w:rPr>
            </w:pPr>
            <w:r>
              <w:rPr>
                <w:rFonts w:ascii="Arial" w:cs="Arial" w:eastAsia="Arial" w:hAnsi="Arial"/>
                <w:sz w:val="16"/>
                <w:szCs w:val="16"/>
                <w:color w:val="auto"/>
              </w:rPr>
              <w:t>5.4 %</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5.7 %</w:t>
            </w:r>
          </w:p>
        </w:tc>
        <w:tc>
          <w:tcPr>
            <w:tcW w:w="780" w:type="dxa"/>
            <w:vAlign w:val="bottom"/>
          </w:tcPr>
          <w:p>
            <w:pPr>
              <w:jc w:val="right"/>
              <w:spacing w:after="0"/>
              <w:rPr>
                <w:sz w:val="20"/>
                <w:szCs w:val="20"/>
                <w:color w:val="auto"/>
              </w:rPr>
            </w:pPr>
            <w:r>
              <w:rPr>
                <w:rFonts w:ascii="Arial" w:cs="Arial" w:eastAsia="Arial" w:hAnsi="Arial"/>
                <w:sz w:val="16"/>
                <w:szCs w:val="16"/>
                <w:color w:val="auto"/>
              </w:rPr>
              <w:t>5.2 %</w:t>
            </w:r>
          </w:p>
        </w:tc>
        <w:tc>
          <w:tcPr>
            <w:tcW w:w="1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5.1 %</w:t>
            </w:r>
          </w:p>
        </w:tc>
        <w:tc>
          <w:tcPr>
            <w:tcW w:w="1060" w:type="dxa"/>
            <w:vAlign w:val="bottom"/>
          </w:tcPr>
          <w:p>
            <w:pPr>
              <w:jc w:val="right"/>
              <w:ind w:right="219"/>
              <w:spacing w:after="0"/>
              <w:rPr>
                <w:sz w:val="20"/>
                <w:szCs w:val="20"/>
                <w:color w:val="auto"/>
              </w:rPr>
            </w:pPr>
            <w:r>
              <w:rPr>
                <w:rFonts w:ascii="Arial" w:cs="Arial" w:eastAsia="Arial" w:hAnsi="Arial"/>
                <w:sz w:val="16"/>
                <w:szCs w:val="16"/>
                <w:color w:val="auto"/>
              </w:rPr>
              <w:t>4.9 %</w:t>
            </w:r>
          </w:p>
        </w:tc>
        <w:tc>
          <w:tcPr>
            <w:tcW w:w="640" w:type="dxa"/>
            <w:vAlign w:val="bottom"/>
          </w:tcPr>
          <w:p>
            <w:pPr>
              <w:jc w:val="right"/>
              <w:spacing w:after="0"/>
              <w:rPr>
                <w:sz w:val="20"/>
                <w:szCs w:val="20"/>
                <w:color w:val="auto"/>
              </w:rPr>
            </w:pPr>
            <w:r>
              <w:rPr>
                <w:rFonts w:ascii="Arial" w:cs="Arial" w:eastAsia="Arial" w:hAnsi="Arial"/>
                <w:sz w:val="16"/>
                <w:szCs w:val="16"/>
                <w:color w:val="auto"/>
              </w:rPr>
              <w:t>4.2 %</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5.0 %</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5.5 %</w:t>
            </w:r>
          </w:p>
        </w:tc>
        <w:tc>
          <w:tcPr>
            <w:tcW w:w="780" w:type="dxa"/>
            <w:vAlign w:val="bottom"/>
          </w:tcPr>
          <w:p>
            <w:pPr>
              <w:jc w:val="right"/>
              <w:spacing w:after="0"/>
              <w:rPr>
                <w:sz w:val="20"/>
                <w:szCs w:val="20"/>
                <w:color w:val="auto"/>
              </w:rPr>
            </w:pPr>
            <w:r>
              <w:rPr>
                <w:rFonts w:ascii="Arial" w:cs="Arial" w:eastAsia="Arial" w:hAnsi="Arial"/>
                <w:sz w:val="16"/>
                <w:szCs w:val="16"/>
                <w:color w:val="auto"/>
              </w:rPr>
              <w:t>5.1 %</w:t>
            </w:r>
          </w:p>
        </w:tc>
      </w:tr>
      <w:tr>
        <w:trPr>
          <w:trHeight w:val="29"/>
        </w:trPr>
        <w:tc>
          <w:tcPr>
            <w:tcW w:w="2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36"/>
        </w:trPr>
        <w:tc>
          <w:tcPr>
            <w:tcW w:w="2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Compensation increases</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3.5 %</w:t>
            </w:r>
          </w:p>
        </w:tc>
        <w:tc>
          <w:tcPr>
            <w:tcW w:w="102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3.5 %</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3.7 %</w:t>
            </w:r>
          </w:p>
        </w:tc>
        <w:tc>
          <w:tcPr>
            <w:tcW w:w="1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2.7 %</w:t>
            </w:r>
          </w:p>
        </w:tc>
        <w:tc>
          <w:tcPr>
            <w:tcW w:w="10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2.8 %</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3.1 %</w:t>
            </w:r>
          </w:p>
        </w:tc>
        <w:tc>
          <w:tcPr>
            <w:tcW w:w="8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3.6 %</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3.6 %</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3.6 %</w:t>
            </w: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Weighted-average benefit cost</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3"/>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assumptions</w:t>
            </w:r>
          </w:p>
        </w:tc>
        <w:tc>
          <w:tcPr>
            <w:tcW w:w="9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1"/>
        </w:trPr>
        <w:tc>
          <w:tcPr>
            <w:tcW w:w="2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7"/>
        </w:trPr>
        <w:tc>
          <w:tcPr>
            <w:tcW w:w="2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Discount rate</w:t>
            </w:r>
          </w:p>
        </w:tc>
        <w:tc>
          <w:tcPr>
            <w:tcW w:w="9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5.7 %</w:t>
            </w:r>
          </w:p>
        </w:tc>
        <w:tc>
          <w:tcPr>
            <w:tcW w:w="102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5.2 %</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4.9 %</w:t>
            </w:r>
          </w:p>
        </w:tc>
        <w:tc>
          <w:tcPr>
            <w:tcW w:w="10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4.2 %</w:t>
            </w:r>
          </w:p>
        </w:tc>
        <w:tc>
          <w:tcPr>
            <w:tcW w:w="6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4.6 %</w:t>
            </w:r>
          </w:p>
        </w:tc>
        <w:tc>
          <w:tcPr>
            <w:tcW w:w="8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5.5 %</w:t>
            </w:r>
          </w:p>
        </w:tc>
        <w:tc>
          <w:tcPr>
            <w:tcW w:w="106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5.1 %</w:t>
            </w:r>
          </w:p>
        </w:tc>
        <w:tc>
          <w:tcPr>
            <w:tcW w:w="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5.4 %</w:t>
            </w:r>
          </w:p>
        </w:tc>
      </w:tr>
      <w:tr>
        <w:trPr>
          <w:trHeight w:val="228"/>
        </w:trPr>
        <w:tc>
          <w:tcPr>
            <w:tcW w:w="2820" w:type="dxa"/>
            <w:vAlign w:val="bottom"/>
          </w:tcPr>
          <w:p>
            <w:pPr>
              <w:ind w:left="20"/>
              <w:spacing w:after="0"/>
              <w:rPr>
                <w:sz w:val="20"/>
                <w:szCs w:val="20"/>
                <w:color w:val="auto"/>
              </w:rPr>
            </w:pPr>
            <w:r>
              <w:rPr>
                <w:rFonts w:ascii="Arial" w:cs="Arial" w:eastAsia="Arial" w:hAnsi="Arial"/>
                <w:sz w:val="16"/>
                <w:szCs w:val="16"/>
                <w:color w:val="auto"/>
              </w:rPr>
              <w:t>Expected rate of return on plan assets</w:t>
            </w:r>
          </w:p>
        </w:tc>
        <w:tc>
          <w:tcPr>
            <w:tcW w:w="940" w:type="dxa"/>
            <w:vAlign w:val="bottom"/>
          </w:tcPr>
          <w:p>
            <w:pPr>
              <w:jc w:val="right"/>
              <w:spacing w:after="0"/>
              <w:rPr>
                <w:sz w:val="20"/>
                <w:szCs w:val="20"/>
                <w:color w:val="auto"/>
              </w:rPr>
            </w:pPr>
            <w:r>
              <w:rPr>
                <w:rFonts w:ascii="Arial" w:cs="Arial" w:eastAsia="Arial" w:hAnsi="Arial"/>
                <w:sz w:val="16"/>
                <w:szCs w:val="16"/>
                <w:color w:val="auto"/>
              </w:rPr>
              <w:t>7.0 %</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7.0 %</w:t>
            </w:r>
          </w:p>
        </w:tc>
        <w:tc>
          <w:tcPr>
            <w:tcW w:w="780" w:type="dxa"/>
            <w:vAlign w:val="bottom"/>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9"/>
                <w:szCs w:val="19"/>
                <w:color w:val="auto"/>
              </w:rPr>
            </w:pP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4.7 %</w:t>
            </w:r>
          </w:p>
        </w:tc>
        <w:tc>
          <w:tcPr>
            <w:tcW w:w="1060" w:type="dxa"/>
            <w:vAlign w:val="bottom"/>
          </w:tcPr>
          <w:p>
            <w:pPr>
              <w:jc w:val="right"/>
              <w:ind w:right="219"/>
              <w:spacing w:after="0"/>
              <w:rPr>
                <w:sz w:val="20"/>
                <w:szCs w:val="20"/>
                <w:color w:val="auto"/>
              </w:rPr>
            </w:pPr>
            <w:r>
              <w:rPr>
                <w:rFonts w:ascii="Arial" w:cs="Arial" w:eastAsia="Arial" w:hAnsi="Arial"/>
                <w:sz w:val="16"/>
                <w:szCs w:val="16"/>
                <w:color w:val="auto"/>
              </w:rPr>
              <w:t>5.3 %</w:t>
            </w:r>
          </w:p>
        </w:tc>
        <w:tc>
          <w:tcPr>
            <w:tcW w:w="640" w:type="dxa"/>
            <w:vAlign w:val="bottom"/>
          </w:tcPr>
          <w:p>
            <w:pPr>
              <w:jc w:val="right"/>
              <w:spacing w:after="0"/>
              <w:rPr>
                <w:sz w:val="20"/>
                <w:szCs w:val="20"/>
                <w:color w:val="auto"/>
              </w:rPr>
            </w:pPr>
            <w:r>
              <w:rPr>
                <w:rFonts w:ascii="Arial" w:cs="Arial" w:eastAsia="Arial" w:hAnsi="Arial"/>
                <w:sz w:val="16"/>
                <w:szCs w:val="16"/>
                <w:color w:val="auto"/>
              </w:rPr>
              <w:t>5.2 %</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1060" w:type="dxa"/>
            <w:vAlign w:val="bottom"/>
          </w:tcPr>
          <w:p>
            <w:pPr>
              <w:jc w:val="right"/>
              <w:ind w:right="79"/>
              <w:spacing w:after="0"/>
              <w:rPr>
                <w:sz w:val="20"/>
                <w:szCs w:val="20"/>
                <w:color w:val="auto"/>
              </w:rPr>
            </w:pPr>
            <w:r>
              <w:rPr>
                <w:rFonts w:ascii="Arial" w:cs="Arial" w:eastAsia="Arial" w:hAnsi="Arial"/>
                <w:sz w:val="16"/>
                <w:szCs w:val="16"/>
                <w:color w:val="auto"/>
              </w:rPr>
              <w:t>— %</w:t>
            </w:r>
          </w:p>
        </w:tc>
        <w:tc>
          <w:tcPr>
            <w:tcW w:w="7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9"/>
        </w:trPr>
        <w:tc>
          <w:tcPr>
            <w:tcW w:w="28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For the December 31, 2025 postretirement health care obligations remeasurement, the Company assumed a 8.4% initial weighted average rate of increase in the per capita cost of the various covered health care benefits, which applies primarily to non-Medicare eligible participants. The trend rate was assumed to decrease gradually to an ultimate rate of 4.5% in 2038 and remain at that level thereafter.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Assumptions Used in Calculations</w:t>
      </w:r>
    </w:p>
    <w:p>
      <w:pPr>
        <w:spacing w:after="0" w:line="29"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Accounting requirements necessitate the use of assumptions to reflect the uncertainties and the length of time over which the pension obligations will be paid. The actual amount of future benefit payments will depend upon when participants retire, the amount of their benefit at retirement, and how long they live. To reflect the obligation in today’s U.S. dollars, we discount the future payments using a rate that matches the time frame over which the payments are expected to be made. We also assume a long-term rate of return that will be earned on investments used to fund these payments.</w:t>
      </w:r>
    </w:p>
    <w:p>
      <w:pPr>
        <w:spacing w:after="0" w:line="203"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GE HealthCare engages third-party actuaries to assist in the determination of the pension and other postretirement defined benefit plan assumptions. We evaluate these assumptions annually. We periodically evaluate other assumptions, such as retirement age, mortality, and turnover, and update them as necessary to reflect our actual experience and expectations for the future.</w:t>
      </w:r>
    </w:p>
    <w:p>
      <w:pPr>
        <w:spacing w:after="0" w:line="20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determine the discount rate using the weighted average yields on high-quality fixed-income securities that have maturities consistent with the expected timing of benefit payments.</w:t>
      </w:r>
    </w:p>
    <w:p>
      <w:pPr>
        <w:spacing w:after="0" w:line="183"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expected return on plan assets is the estimated long-term rate of return that will be earned on the investments used to fund the pension obligations. To determine this rate, we consider the current and target composition of plan investments, our historical returns earned, and our expectations about the future.</w:t>
      </w:r>
    </w:p>
    <w:p>
      <w:pPr>
        <w:spacing w:after="0" w:line="16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compensation assumption is used to estimate the annual rate at which compensation of active plan participants will grow. If the rate of growth assumed increases, the size of the pension obligations will increase, as will the amount recorded in AOCI in our Consolidated Statements of Financial Position and amortized to earnings in subsequent periods.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Expected Future Benefit Payments of Our Benefit Plans</w:t>
            </w:r>
          </w:p>
        </w:tc>
        <w:tc>
          <w:tcPr>
            <w:tcW w:w="1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57"/>
        </w:trPr>
        <w:tc>
          <w:tcPr>
            <w:tcW w:w="5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454545"/>
              </w:rPr>
              <w:t>U.S. Plans</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International Plans</w:t>
            </w:r>
          </w:p>
        </w:tc>
        <w:tc>
          <w:tcPr>
            <w:tcW w:w="240" w:type="dxa"/>
            <w:vAlign w:val="bottom"/>
          </w:tcPr>
          <w:p>
            <w:pPr>
              <w:spacing w:after="0"/>
              <w:rPr>
                <w:sz w:val="22"/>
                <w:szCs w:val="22"/>
                <w:color w:val="auto"/>
              </w:rPr>
            </w:pPr>
          </w:p>
        </w:tc>
        <w:tc>
          <w:tcPr>
            <w:tcW w:w="1400" w:type="dxa"/>
            <w:vAlign w:val="bottom"/>
          </w:tcPr>
          <w:p>
            <w:pPr>
              <w:jc w:val="right"/>
              <w:ind w:right="259"/>
              <w:spacing w:after="0"/>
              <w:rPr>
                <w:sz w:val="20"/>
                <w:szCs w:val="20"/>
                <w:color w:val="auto"/>
              </w:rPr>
            </w:pPr>
            <w:r>
              <w:rPr>
                <w:rFonts w:ascii="Arial" w:cs="Arial" w:eastAsia="Arial" w:hAnsi="Arial"/>
                <w:sz w:val="16"/>
                <w:szCs w:val="16"/>
                <w:b w:val="1"/>
                <w:bCs w:val="1"/>
                <w:color w:val="454545"/>
              </w:rPr>
              <w:t>OPEB Plans</w:t>
            </w:r>
          </w:p>
        </w:tc>
      </w:tr>
      <w:tr>
        <w:trPr>
          <w:trHeight w:val="21"/>
        </w:trPr>
        <w:tc>
          <w:tcPr>
            <w:tcW w:w="5360" w:type="dxa"/>
            <w:vAlign w:val="bottom"/>
            <w:tcBorders>
              <w:bottom w:val="single" w:sz="8" w:color="6400A0"/>
            </w:tcBorders>
          </w:tcPr>
          <w:p>
            <w:pPr>
              <w:spacing w:after="0" w:line="20" w:lineRule="exact"/>
              <w:rPr>
                <w:sz w:val="1"/>
                <w:szCs w:val="1"/>
                <w:color w:val="auto"/>
              </w:rPr>
            </w:pPr>
          </w:p>
        </w:tc>
        <w:tc>
          <w:tcPr>
            <w:tcW w:w="1280" w:type="dxa"/>
            <w:vAlign w:val="bottom"/>
            <w:tcBorders>
              <w:bottom w:val="single" w:sz="8" w:color="6400A0"/>
            </w:tcBorders>
          </w:tcPr>
          <w:p>
            <w:pPr>
              <w:spacing w:after="0" w:line="20" w:lineRule="exact"/>
              <w:rPr>
                <w:sz w:val="1"/>
                <w:szCs w:val="1"/>
                <w:color w:val="auto"/>
              </w:rPr>
            </w:pPr>
          </w:p>
        </w:tc>
        <w:tc>
          <w:tcPr>
            <w:tcW w:w="1340" w:type="dxa"/>
            <w:vAlign w:val="bottom"/>
            <w:tcBorders>
              <w:bottom w:val="single" w:sz="8" w:color="6400A0"/>
            </w:tcBorders>
          </w:tcPr>
          <w:p>
            <w:pPr>
              <w:spacing w:after="0" w:line="20" w:lineRule="exact"/>
              <w:rPr>
                <w:sz w:val="1"/>
                <w:szCs w:val="1"/>
                <w:color w:val="auto"/>
              </w:rPr>
            </w:pPr>
          </w:p>
        </w:tc>
        <w:tc>
          <w:tcPr>
            <w:tcW w:w="72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1400" w:type="dxa"/>
            <w:vAlign w:val="bottom"/>
            <w:tcBorders>
              <w:bottom w:val="single" w:sz="8" w:color="6400A0"/>
            </w:tcBorders>
          </w:tcPr>
          <w:p>
            <w:pPr>
              <w:spacing w:after="0" w:line="20" w:lineRule="exact"/>
              <w:rPr>
                <w:sz w:val="1"/>
                <w:szCs w:val="1"/>
                <w:color w:val="auto"/>
              </w:rPr>
            </w:pPr>
          </w:p>
        </w:tc>
      </w:tr>
      <w:tr>
        <w:trPr>
          <w:trHeight w:val="230"/>
        </w:trPr>
        <w:tc>
          <w:tcPr>
            <w:tcW w:w="5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2026</w:t>
            </w:r>
          </w:p>
        </w:tc>
        <w:tc>
          <w:tcPr>
            <w:tcW w:w="1280" w:type="dxa"/>
            <w:vAlign w:val="bottom"/>
            <w:tcBorders>
              <w:bottom w:val="single" w:sz="8" w:color="E4E4E4"/>
            </w:tcBorders>
            <w:shd w:val="clear" w:color="auto" w:fill="E4E4E4"/>
          </w:tcPr>
          <w:p>
            <w:pPr>
              <w:jc w:val="right"/>
              <w:ind w:right="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1,397</w:t>
            </w:r>
          </w:p>
        </w:tc>
        <w:tc>
          <w:tcPr>
            <w:tcW w:w="720" w:type="dxa"/>
            <w:vAlign w:val="bottom"/>
            <w:tcBorders>
              <w:bottom w:val="single" w:sz="8" w:color="E4E4E4"/>
            </w:tcBorders>
            <w:shd w:val="clear" w:color="auto" w:fill="E4E4E4"/>
          </w:tcPr>
          <w:p>
            <w:pPr>
              <w:jc w:val="right"/>
              <w:ind w:right="5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118</w:t>
            </w:r>
          </w:p>
        </w:tc>
      </w:tr>
      <w:tr>
        <w:trPr>
          <w:trHeight w:val="228"/>
        </w:trPr>
        <w:tc>
          <w:tcPr>
            <w:tcW w:w="5360" w:type="dxa"/>
            <w:vAlign w:val="bottom"/>
          </w:tcPr>
          <w:p>
            <w:pPr>
              <w:ind w:left="20"/>
              <w:spacing w:after="0"/>
              <w:rPr>
                <w:sz w:val="20"/>
                <w:szCs w:val="20"/>
                <w:color w:val="auto"/>
              </w:rPr>
            </w:pPr>
            <w:r>
              <w:rPr>
                <w:rFonts w:ascii="Arial" w:cs="Arial" w:eastAsia="Arial" w:hAnsi="Arial"/>
                <w:sz w:val="16"/>
                <w:szCs w:val="16"/>
                <w:color w:val="auto"/>
              </w:rPr>
              <w:t>2027</w:t>
            </w:r>
          </w:p>
        </w:tc>
        <w:tc>
          <w:tcPr>
            <w:tcW w:w="1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1,403</w:t>
            </w: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9"/>
        </w:trPr>
        <w:tc>
          <w:tcPr>
            <w:tcW w:w="5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5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2028</w:t>
            </w:r>
          </w:p>
        </w:tc>
        <w:tc>
          <w:tcPr>
            <w:tcW w:w="12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1,408</w:t>
            </w:r>
          </w:p>
        </w:tc>
        <w:tc>
          <w:tcPr>
            <w:tcW w:w="72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167</w:t>
            </w:r>
          </w:p>
        </w:tc>
        <w:tc>
          <w:tcPr>
            <w:tcW w:w="24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112</w:t>
            </w:r>
          </w:p>
        </w:tc>
      </w:tr>
      <w:tr>
        <w:trPr>
          <w:trHeight w:val="228"/>
        </w:trPr>
        <w:tc>
          <w:tcPr>
            <w:tcW w:w="5360" w:type="dxa"/>
            <w:vAlign w:val="bottom"/>
          </w:tcPr>
          <w:p>
            <w:pPr>
              <w:ind w:left="20"/>
              <w:spacing w:after="0"/>
              <w:rPr>
                <w:sz w:val="20"/>
                <w:szCs w:val="20"/>
                <w:color w:val="auto"/>
              </w:rPr>
            </w:pPr>
            <w:r>
              <w:rPr>
                <w:rFonts w:ascii="Arial" w:cs="Arial" w:eastAsia="Arial" w:hAnsi="Arial"/>
                <w:sz w:val="16"/>
                <w:szCs w:val="16"/>
                <w:color w:val="auto"/>
              </w:rPr>
              <w:t>2029</w:t>
            </w:r>
          </w:p>
        </w:tc>
        <w:tc>
          <w:tcPr>
            <w:tcW w:w="1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1,409</w:t>
            </w: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172</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9"/>
        </w:trPr>
        <w:tc>
          <w:tcPr>
            <w:tcW w:w="5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6"/>
        </w:trPr>
        <w:tc>
          <w:tcPr>
            <w:tcW w:w="5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2030</w:t>
            </w:r>
          </w:p>
        </w:tc>
        <w:tc>
          <w:tcPr>
            <w:tcW w:w="1280" w:type="dxa"/>
            <w:vAlign w:val="bottom"/>
            <w:tcBorders>
              <w:bottom w:val="single" w:sz="8" w:color="E4E4E4"/>
            </w:tcBorders>
            <w:shd w:val="clear" w:color="auto" w:fill="E4E4E4"/>
          </w:tcPr>
          <w:p>
            <w:pPr>
              <w:spacing w:after="0"/>
              <w:rPr>
                <w:sz w:val="20"/>
                <w:szCs w:val="20"/>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1,404</w:t>
            </w:r>
          </w:p>
        </w:tc>
        <w:tc>
          <w:tcPr>
            <w:tcW w:w="72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179</w:t>
            </w:r>
          </w:p>
        </w:tc>
        <w:tc>
          <w:tcPr>
            <w:tcW w:w="24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105</w:t>
            </w:r>
          </w:p>
        </w:tc>
      </w:tr>
      <w:tr>
        <w:trPr>
          <w:trHeight w:val="228"/>
        </w:trPr>
        <w:tc>
          <w:tcPr>
            <w:tcW w:w="5360" w:type="dxa"/>
            <w:vAlign w:val="bottom"/>
          </w:tcPr>
          <w:p>
            <w:pPr>
              <w:ind w:left="20"/>
              <w:spacing w:after="0"/>
              <w:rPr>
                <w:sz w:val="20"/>
                <w:szCs w:val="20"/>
                <w:color w:val="auto"/>
              </w:rPr>
            </w:pPr>
            <w:r>
              <w:rPr>
                <w:rFonts w:ascii="Arial" w:cs="Arial" w:eastAsia="Arial" w:hAnsi="Arial"/>
                <w:sz w:val="16"/>
                <w:szCs w:val="16"/>
                <w:color w:val="auto"/>
              </w:rPr>
              <w:t>2031-2035</w:t>
            </w:r>
          </w:p>
        </w:tc>
        <w:tc>
          <w:tcPr>
            <w:tcW w:w="1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6,797</w:t>
            </w:r>
          </w:p>
        </w:tc>
        <w:tc>
          <w:tcPr>
            <w:tcW w:w="7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980</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436</w:t>
            </w:r>
          </w:p>
        </w:tc>
      </w:tr>
      <w:tr>
        <w:trPr>
          <w:trHeight w:val="29"/>
        </w:trPr>
        <w:tc>
          <w:tcPr>
            <w:tcW w:w="5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PLAN ASSETS.</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GE HealthCare Employee Benefits Investment Committee (the “Investment Committee”) and various country pension boards oversee and monitor the investment decisions related to the assets of our U.S. funded pension plans and other international pension assets, respectively. The Investment Committee retains independent investment managers and advisors and uses documented policies and procedures relating to investment goals, targeted asset allocations, risk management practices, allowable and prohibited investment holdings, diversification, use of derivatives, the relationship between plan assets and benefit obligations, the funded status of the plans, and other relevant factors and considerations.</w:t>
      </w:r>
    </w:p>
    <w:p>
      <w:pPr>
        <w:spacing w:after="0" w:line="19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assets of our U.S. funded pension plans are invested in a portfolio that includes U.S. and international equity securities; U.S. government and corporate debt securities; asset-backed debt securities; private equity; real estate and other alternative investments; as well as cash and cash equivalents and derivatives contracts. This combination of assets and derivatives is utilized to implement the investment strategies as well as for hedging asset and liability risks. The Investment Committee sets target allocation percentages at an asset class level, including permitted ranges above or below the target allocation percentages.</w:t>
      </w:r>
    </w:p>
    <w:p>
      <w:pPr>
        <w:spacing w:after="0" w:line="19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October 2025, the Trustee of the Company’s United Kingdom (“U.K.”) defined benefit pension plan entered into an agreement with a third-party insurance company to execute a full bulk annuity purchase (“buy-in”) for the plan. The agreement does not relieve the Company of the primary responsibility to fund the pension obligations. The buy-in was undertaken to reduce pension risk, including investment, longevity, interest rate and inflation risk, by closely aligning plan assets with the plan’s long-term benefit obligations. The annuity contract is reported within the fair value of plan assets and is intended to provide payments to the plan in amounts equivalent to the benefits owed to members in accordance with the plan rules.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plan assets for international plans are managed and allocated by the country pension boards in each country.</w:t>
      </w:r>
    </w:p>
    <w:p>
      <w:pPr>
        <w:spacing w:after="0" w:line="262"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following tables summarize our pension plan assets that are measured at fair value on a recurring basis. There are no plan assets associated with our OPEB Plans. The inputs and valuation techniques used to measure the fair value of the assets are consistent with the valuation methodologies we use to measure financial assets at fair value on a recurring basis, as described in Note 2, “Summary of Significant Accounting Policies.”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Pr>
          <w:p>
            <w:pPr>
              <w:ind w:left="20"/>
              <w:spacing w:after="0"/>
              <w:rPr>
                <w:sz w:val="20"/>
                <w:szCs w:val="20"/>
                <w:color w:val="auto"/>
              </w:rPr>
            </w:pPr>
            <w:r>
              <w:rPr>
                <w:rFonts w:ascii="Arial" w:cs="Arial" w:eastAsia="Arial" w:hAnsi="Arial"/>
                <w:sz w:val="16"/>
                <w:szCs w:val="16"/>
                <w:b w:val="1"/>
                <w:bCs w:val="1"/>
                <w:color w:val="auto"/>
              </w:rPr>
              <w:t>Composition of Plan Assets</w:t>
            </w: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20" w:type="dxa"/>
            <w:vAlign w:val="bottom"/>
            <w:gridSpan w:val="5"/>
          </w:tcPr>
          <w:p>
            <w:pPr>
              <w:jc w:val="right"/>
              <w:ind w:right="219"/>
              <w:spacing w:after="0"/>
              <w:rPr>
                <w:sz w:val="20"/>
                <w:szCs w:val="20"/>
                <w:color w:val="auto"/>
              </w:rPr>
            </w:pPr>
            <w:r>
              <w:rPr>
                <w:rFonts w:ascii="Arial" w:cs="Arial" w:eastAsia="Arial" w:hAnsi="Arial"/>
                <w:sz w:val="16"/>
                <w:szCs w:val="16"/>
                <w:b w:val="1"/>
                <w:bCs w:val="1"/>
                <w:color w:val="454545"/>
              </w:rPr>
              <w:t>Basis of fair value measurement</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454545"/>
              </w:rPr>
              <w:t>Balance as of</w:t>
            </w:r>
          </w:p>
        </w:tc>
        <w:tc>
          <w:tcPr>
            <w:tcW w:w="16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860" w:type="dxa"/>
            <w:vAlign w:val="bottom"/>
            <w:tcBorders>
              <w:bottom w:val="single" w:sz="8" w:color="454545"/>
            </w:tcBorders>
          </w:tcPr>
          <w:p>
            <w:pPr>
              <w:spacing w:after="0" w:line="20" w:lineRule="exact"/>
              <w:rPr>
                <w:sz w:val="1"/>
                <w:szCs w:val="1"/>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454545"/>
              </w:rPr>
              <w:t>Measured at</w:t>
            </w:r>
          </w:p>
        </w:tc>
        <w:tc>
          <w:tcPr>
            <w:tcW w:w="0" w:type="dxa"/>
            <w:vAlign w:val="bottom"/>
          </w:tcPr>
          <w:p>
            <w:pPr>
              <w:spacing w:after="0"/>
              <w:rPr>
                <w:sz w:val="1"/>
                <w:szCs w:val="1"/>
                <w:color w:val="auto"/>
              </w:rPr>
            </w:pPr>
          </w:p>
        </w:tc>
      </w:tr>
      <w:tr>
        <w:trPr>
          <w:trHeight w:val="195"/>
        </w:trPr>
        <w:tc>
          <w:tcPr>
            <w:tcW w:w="4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6022A6"/>
            </w:tcBorders>
          </w:tcPr>
          <w:p>
            <w:pPr>
              <w:spacing w:after="0"/>
              <w:rPr>
                <w:sz w:val="21"/>
                <w:szCs w:val="21"/>
                <w:color w:val="auto"/>
              </w:rPr>
            </w:pPr>
          </w:p>
        </w:tc>
        <w:tc>
          <w:tcPr>
            <w:tcW w:w="278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December 31, 2025</w:t>
            </w:r>
          </w:p>
        </w:tc>
        <w:tc>
          <w:tcPr>
            <w:tcW w:w="160" w:type="dxa"/>
            <w:vAlign w:val="bottom"/>
            <w:tcBorders>
              <w:bottom w:val="single" w:sz="8" w:color="6022A6"/>
            </w:tcBorders>
          </w:tcPr>
          <w:p>
            <w:pPr>
              <w:spacing w:after="0"/>
              <w:rPr>
                <w:sz w:val="21"/>
                <w:szCs w:val="21"/>
                <w:color w:val="auto"/>
              </w:rPr>
            </w:pPr>
          </w:p>
        </w:tc>
        <w:tc>
          <w:tcPr>
            <w:tcW w:w="86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Level 1</w:t>
            </w:r>
          </w:p>
        </w:tc>
        <w:tc>
          <w:tcPr>
            <w:tcW w:w="180" w:type="dxa"/>
            <w:vAlign w:val="bottom"/>
            <w:tcBorders>
              <w:bottom w:val="single" w:sz="8" w:color="6022A6"/>
            </w:tcBorders>
          </w:tcPr>
          <w:p>
            <w:pPr>
              <w:spacing w:after="0"/>
              <w:rPr>
                <w:sz w:val="21"/>
                <w:szCs w:val="21"/>
                <w:color w:val="auto"/>
              </w:rPr>
            </w:pPr>
          </w:p>
        </w:tc>
        <w:tc>
          <w:tcPr>
            <w:tcW w:w="82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Level 2</w:t>
            </w:r>
          </w:p>
        </w:tc>
        <w:tc>
          <w:tcPr>
            <w:tcW w:w="200" w:type="dxa"/>
            <w:vAlign w:val="bottom"/>
            <w:tcBorders>
              <w:bottom w:val="single" w:sz="8" w:color="6022A6"/>
            </w:tcBorders>
          </w:tcPr>
          <w:p>
            <w:pPr>
              <w:spacing w:after="0"/>
              <w:rPr>
                <w:sz w:val="21"/>
                <w:szCs w:val="21"/>
                <w:color w:val="auto"/>
              </w:rPr>
            </w:pPr>
          </w:p>
        </w:tc>
        <w:tc>
          <w:tcPr>
            <w:tcW w:w="86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Level 3</w:t>
            </w:r>
          </w:p>
        </w:tc>
        <w:tc>
          <w:tcPr>
            <w:tcW w:w="180" w:type="dxa"/>
            <w:vAlign w:val="bottom"/>
            <w:tcBorders>
              <w:bottom w:val="single" w:sz="8" w:color="6022A6"/>
            </w:tcBorders>
          </w:tcPr>
          <w:p>
            <w:pPr>
              <w:spacing w:after="0"/>
              <w:rPr>
                <w:sz w:val="21"/>
                <w:szCs w:val="21"/>
                <w:color w:val="auto"/>
              </w:rPr>
            </w:pPr>
          </w:p>
        </w:tc>
        <w:tc>
          <w:tcPr>
            <w:tcW w:w="84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NAV</w:t>
            </w:r>
            <w:r>
              <w:rPr>
                <w:rFonts w:ascii="Arial" w:cs="Arial" w:eastAsia="Arial" w:hAnsi="Arial"/>
                <w:sz w:val="21"/>
                <w:szCs w:val="21"/>
                <w:b w:val="1"/>
                <w:bCs w:val="1"/>
                <w:color w:val="454545"/>
                <w:vertAlign w:val="superscript"/>
              </w:rPr>
              <w:t>(1)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Global equity securities</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4,832</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2,292</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228"/>
        </w:trPr>
        <w:tc>
          <w:tcPr>
            <w:tcW w:w="4360" w:type="dxa"/>
            <w:vAlign w:val="bottom"/>
          </w:tcPr>
          <w:p>
            <w:pPr>
              <w:ind w:left="20"/>
              <w:spacing w:after="0"/>
              <w:rPr>
                <w:sz w:val="20"/>
                <w:szCs w:val="20"/>
                <w:color w:val="auto"/>
              </w:rPr>
            </w:pPr>
            <w:r>
              <w:rPr>
                <w:rFonts w:ascii="Arial" w:cs="Arial" w:eastAsia="Arial" w:hAnsi="Arial"/>
                <w:sz w:val="16"/>
                <w:szCs w:val="16"/>
                <w:color w:val="auto"/>
              </w:rPr>
              <w:t>Debt securities, cash, and cash equivalents</w:t>
            </w:r>
          </w:p>
        </w:tc>
        <w:tc>
          <w:tcPr>
            <w:tcW w:w="1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8,412</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2,042</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5,330</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Real estate</w:t>
            </w:r>
          </w:p>
        </w:tc>
        <w:tc>
          <w:tcPr>
            <w:tcW w:w="138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793</w:t>
            </w:r>
          </w:p>
        </w:tc>
        <w:tc>
          <w:tcPr>
            <w:tcW w:w="1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299</w:t>
            </w:r>
          </w:p>
        </w:tc>
        <w:tc>
          <w:tcPr>
            <w:tcW w:w="18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494</w:t>
            </w:r>
          </w:p>
        </w:tc>
        <w:tc>
          <w:tcPr>
            <w:tcW w:w="0" w:type="dxa"/>
            <w:vAlign w:val="bottom"/>
          </w:tcPr>
          <w:p>
            <w:pPr>
              <w:spacing w:after="0"/>
              <w:rPr>
                <w:sz w:val="1"/>
                <w:szCs w:val="1"/>
                <w:color w:val="auto"/>
              </w:rPr>
            </w:pPr>
          </w:p>
        </w:tc>
      </w:tr>
      <w:tr>
        <w:trPr>
          <w:trHeight w:val="228"/>
        </w:trPr>
        <w:tc>
          <w:tcPr>
            <w:tcW w:w="4360" w:type="dxa"/>
            <w:vAlign w:val="bottom"/>
          </w:tcPr>
          <w:p>
            <w:pPr>
              <w:ind w:left="20"/>
              <w:spacing w:after="0"/>
              <w:rPr>
                <w:sz w:val="20"/>
                <w:szCs w:val="20"/>
                <w:color w:val="auto"/>
              </w:rPr>
            </w:pPr>
            <w:r>
              <w:rPr>
                <w:rFonts w:ascii="Arial" w:cs="Arial" w:eastAsia="Arial" w:hAnsi="Arial"/>
                <w:sz w:val="16"/>
                <w:szCs w:val="16"/>
                <w:color w:val="auto"/>
              </w:rPr>
              <w:t>Private equities and other investments</w:t>
            </w:r>
          </w:p>
        </w:tc>
        <w:tc>
          <w:tcPr>
            <w:tcW w:w="1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1,990</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161</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1,858</w:t>
            </w: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Annuity contract</w:t>
            </w:r>
          </w:p>
        </w:tc>
        <w:tc>
          <w:tcPr>
            <w:tcW w:w="1380" w:type="dxa"/>
            <w:vAlign w:val="bottom"/>
            <w:tcBorders>
              <w:bottom w:val="single" w:sz="8" w:color="E4E4E4"/>
            </w:tcBorders>
            <w:shd w:val="clear" w:color="auto" w:fill="E4E4E4"/>
          </w:tcPr>
          <w:p>
            <w:pPr>
              <w:spacing w:after="0"/>
              <w:rPr>
                <w:sz w:val="20"/>
                <w:szCs w:val="20"/>
                <w:color w:val="auto"/>
              </w:rPr>
            </w:pP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2,104</w:t>
            </w:r>
          </w:p>
        </w:tc>
        <w:tc>
          <w:tcPr>
            <w:tcW w:w="16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2,104</w:t>
            </w:r>
          </w:p>
        </w:tc>
        <w:tc>
          <w:tcPr>
            <w:tcW w:w="18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360" w:type="dxa"/>
            <w:vAlign w:val="bottom"/>
          </w:tcPr>
          <w:p>
            <w:pPr>
              <w:ind w:left="20"/>
              <w:spacing w:after="0"/>
              <w:rPr>
                <w:sz w:val="20"/>
                <w:szCs w:val="20"/>
                <w:color w:val="auto"/>
              </w:rPr>
            </w:pPr>
            <w:r>
              <w:rPr>
                <w:rFonts w:ascii="Arial" w:cs="Arial" w:eastAsia="Arial" w:hAnsi="Arial"/>
                <w:sz w:val="16"/>
                <w:szCs w:val="16"/>
                <w:color w:val="auto"/>
              </w:rPr>
              <w:t>Other</w:t>
            </w:r>
          </w:p>
        </w:tc>
        <w:tc>
          <w:tcPr>
            <w:tcW w:w="13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Fair value of plan assets</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18,259</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4,258</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5,484</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2,564</w:t>
            </w:r>
          </w:p>
        </w:tc>
        <w:tc>
          <w:tcPr>
            <w:tcW w:w="1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5,825</w:t>
            </w:r>
          </w:p>
        </w:tc>
        <w:tc>
          <w:tcPr>
            <w:tcW w:w="0" w:type="dxa"/>
            <w:vAlign w:val="bottom"/>
          </w:tcPr>
          <w:p>
            <w:pPr>
              <w:spacing w:after="0"/>
              <w:rPr>
                <w:sz w:val="1"/>
                <w:szCs w:val="1"/>
                <w:color w:val="auto"/>
              </w:rPr>
            </w:pPr>
          </w:p>
        </w:tc>
      </w:tr>
      <w:tr>
        <w:trPr>
          <w:trHeight w:val="20"/>
        </w:trPr>
        <w:tc>
          <w:tcPr>
            <w:tcW w:w="4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260" w:right="300" w:hanging="252"/>
        <w:spacing w:after="0" w:line="286" w:lineRule="auto"/>
        <w:tabs>
          <w:tab w:leader="none" w:pos="2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Certain assets that are measured at fair value using the NAV per share (or its equivalent), as a practical expedient, have not been classified in the fair value hierarchy.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gridSpan w:val="5"/>
          </w:tcPr>
          <w:p>
            <w:pPr>
              <w:jc w:val="right"/>
              <w:ind w:right="199"/>
              <w:spacing w:after="0"/>
              <w:rPr>
                <w:sz w:val="20"/>
                <w:szCs w:val="20"/>
                <w:color w:val="auto"/>
              </w:rPr>
            </w:pPr>
            <w:r>
              <w:rPr>
                <w:rFonts w:ascii="Arial" w:cs="Arial" w:eastAsia="Arial" w:hAnsi="Arial"/>
                <w:sz w:val="16"/>
                <w:szCs w:val="16"/>
                <w:b w:val="1"/>
                <w:bCs w:val="1"/>
                <w:color w:val="454545"/>
              </w:rPr>
              <w:t>Basis of fair value measurement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454545"/>
              </w:rPr>
              <w:t>Balance as of</w:t>
            </w:r>
          </w:p>
        </w:tc>
        <w:tc>
          <w:tcPr>
            <w:tcW w:w="18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82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454545"/>
              </w:rPr>
              <w:t>Measured at</w:t>
            </w:r>
          </w:p>
        </w:tc>
        <w:tc>
          <w:tcPr>
            <w:tcW w:w="0" w:type="dxa"/>
            <w:vAlign w:val="bottom"/>
          </w:tcPr>
          <w:p>
            <w:pPr>
              <w:spacing w:after="0"/>
              <w:rPr>
                <w:sz w:val="1"/>
                <w:szCs w:val="1"/>
                <w:color w:val="auto"/>
              </w:rPr>
            </w:pPr>
          </w:p>
        </w:tc>
      </w:tr>
      <w:tr>
        <w:trPr>
          <w:trHeight w:val="185"/>
        </w:trPr>
        <w:tc>
          <w:tcPr>
            <w:tcW w:w="4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4360" w:type="dxa"/>
            <w:vAlign w:val="bottom"/>
            <w:tcBorders>
              <w:bottom w:val="single" w:sz="8" w:color="6022A6"/>
            </w:tcBorders>
          </w:tcPr>
          <w:p>
            <w:pPr>
              <w:spacing w:after="0"/>
              <w:rPr>
                <w:sz w:val="22"/>
                <w:szCs w:val="22"/>
                <w:color w:val="auto"/>
              </w:rPr>
            </w:pPr>
          </w:p>
        </w:tc>
        <w:tc>
          <w:tcPr>
            <w:tcW w:w="2740" w:type="dxa"/>
            <w:vAlign w:val="bottom"/>
            <w:tcBorders>
              <w:bottom w:val="single" w:sz="8" w:color="6022A6"/>
            </w:tcBorders>
            <w:gridSpan w:val="2"/>
          </w:tcPr>
          <w:p>
            <w:pPr>
              <w:jc w:val="right"/>
              <w:spacing w:after="0"/>
              <w:rPr>
                <w:sz w:val="20"/>
                <w:szCs w:val="20"/>
                <w:color w:val="auto"/>
              </w:rPr>
            </w:pPr>
            <w:r>
              <w:rPr>
                <w:rFonts w:ascii="Arial" w:cs="Arial" w:eastAsia="Arial" w:hAnsi="Arial"/>
                <w:sz w:val="16"/>
                <w:szCs w:val="16"/>
                <w:b w:val="1"/>
                <w:bCs w:val="1"/>
                <w:color w:val="454545"/>
              </w:rPr>
              <w:t>December 31, 2024</w:t>
            </w:r>
          </w:p>
        </w:tc>
        <w:tc>
          <w:tcPr>
            <w:tcW w:w="180" w:type="dxa"/>
            <w:vAlign w:val="bottom"/>
            <w:tcBorders>
              <w:bottom w:val="single" w:sz="8" w:color="6022A6"/>
            </w:tcBorders>
          </w:tcPr>
          <w:p>
            <w:pPr>
              <w:spacing w:after="0"/>
              <w:rPr>
                <w:sz w:val="22"/>
                <w:szCs w:val="22"/>
                <w:color w:val="auto"/>
              </w:rPr>
            </w:pPr>
          </w:p>
        </w:tc>
        <w:tc>
          <w:tcPr>
            <w:tcW w:w="84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Level 1</w:t>
            </w:r>
          </w:p>
        </w:tc>
        <w:tc>
          <w:tcPr>
            <w:tcW w:w="200" w:type="dxa"/>
            <w:vAlign w:val="bottom"/>
            <w:tcBorders>
              <w:bottom w:val="single" w:sz="8" w:color="6022A6"/>
            </w:tcBorders>
          </w:tcPr>
          <w:p>
            <w:pPr>
              <w:spacing w:after="0"/>
              <w:rPr>
                <w:sz w:val="22"/>
                <w:szCs w:val="22"/>
                <w:color w:val="auto"/>
              </w:rPr>
            </w:pPr>
          </w:p>
        </w:tc>
        <w:tc>
          <w:tcPr>
            <w:tcW w:w="82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Level 2</w:t>
            </w:r>
          </w:p>
        </w:tc>
        <w:tc>
          <w:tcPr>
            <w:tcW w:w="200" w:type="dxa"/>
            <w:vAlign w:val="bottom"/>
            <w:tcBorders>
              <w:bottom w:val="single" w:sz="8" w:color="6022A6"/>
            </w:tcBorders>
          </w:tcPr>
          <w:p>
            <w:pPr>
              <w:spacing w:after="0"/>
              <w:rPr>
                <w:sz w:val="22"/>
                <w:szCs w:val="22"/>
                <w:color w:val="auto"/>
              </w:rPr>
            </w:pPr>
          </w:p>
        </w:tc>
        <w:tc>
          <w:tcPr>
            <w:tcW w:w="840" w:type="dxa"/>
            <w:vAlign w:val="bottom"/>
            <w:tcBorders>
              <w:bottom w:val="single" w:sz="8" w:color="6022A6"/>
            </w:tcBorders>
          </w:tcPr>
          <w:p>
            <w:pPr>
              <w:jc w:val="right"/>
              <w:ind w:right="139"/>
              <w:spacing w:after="0"/>
              <w:rPr>
                <w:sz w:val="20"/>
                <w:szCs w:val="20"/>
                <w:color w:val="auto"/>
              </w:rPr>
            </w:pPr>
            <w:r>
              <w:rPr>
                <w:rFonts w:ascii="Arial" w:cs="Arial" w:eastAsia="Arial" w:hAnsi="Arial"/>
                <w:sz w:val="16"/>
                <w:szCs w:val="16"/>
                <w:b w:val="1"/>
                <w:bCs w:val="1"/>
                <w:color w:val="454545"/>
              </w:rPr>
              <w:t>Level 3</w:t>
            </w:r>
          </w:p>
        </w:tc>
        <w:tc>
          <w:tcPr>
            <w:tcW w:w="200" w:type="dxa"/>
            <w:vAlign w:val="bottom"/>
            <w:tcBorders>
              <w:bottom w:val="single" w:sz="8" w:color="6022A6"/>
            </w:tcBorders>
          </w:tcPr>
          <w:p>
            <w:pPr>
              <w:spacing w:after="0"/>
              <w:rPr>
                <w:sz w:val="22"/>
                <w:szCs w:val="22"/>
                <w:color w:val="auto"/>
              </w:rPr>
            </w:pPr>
          </w:p>
        </w:tc>
        <w:tc>
          <w:tcPr>
            <w:tcW w:w="840" w:type="dxa"/>
            <w:vAlign w:val="bottom"/>
            <w:tcBorders>
              <w:bottom w:val="single" w:sz="8" w:color="6022A6"/>
            </w:tcBorders>
          </w:tcPr>
          <w:p>
            <w:pPr>
              <w:jc w:val="right"/>
              <w:ind w:right="199"/>
              <w:spacing w:after="0"/>
              <w:rPr>
                <w:sz w:val="20"/>
                <w:szCs w:val="20"/>
                <w:color w:val="auto"/>
              </w:rPr>
            </w:pPr>
            <w:r>
              <w:rPr>
                <w:rFonts w:ascii="Arial" w:cs="Arial" w:eastAsia="Arial" w:hAnsi="Arial"/>
                <w:sz w:val="16"/>
                <w:szCs w:val="16"/>
                <w:b w:val="1"/>
                <w:bCs w:val="1"/>
                <w:color w:val="454545"/>
              </w:rPr>
              <w:t>NAV</w:t>
            </w:r>
            <w:r>
              <w:rPr>
                <w:rFonts w:ascii="Arial" w:cs="Arial" w:eastAsia="Arial" w:hAnsi="Arial"/>
                <w:sz w:val="21"/>
                <w:szCs w:val="21"/>
                <w:b w:val="1"/>
                <w:bCs w:val="1"/>
                <w:color w:val="454545"/>
                <w:vertAlign w:val="superscript"/>
              </w:rPr>
              <w:t>(1)</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Global equity securities</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4,084</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944</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3,101</w:t>
            </w:r>
          </w:p>
        </w:tc>
        <w:tc>
          <w:tcPr>
            <w:tcW w:w="0" w:type="dxa"/>
            <w:vAlign w:val="bottom"/>
          </w:tcPr>
          <w:p>
            <w:pPr>
              <w:spacing w:after="0"/>
              <w:rPr>
                <w:sz w:val="1"/>
                <w:szCs w:val="1"/>
                <w:color w:val="auto"/>
              </w:rPr>
            </w:pPr>
          </w:p>
        </w:tc>
      </w:tr>
      <w:tr>
        <w:trPr>
          <w:trHeight w:val="228"/>
        </w:trPr>
        <w:tc>
          <w:tcPr>
            <w:tcW w:w="4360" w:type="dxa"/>
            <w:vAlign w:val="bottom"/>
          </w:tcPr>
          <w:p>
            <w:pPr>
              <w:ind w:left="40"/>
              <w:spacing w:after="0"/>
              <w:rPr>
                <w:sz w:val="20"/>
                <w:szCs w:val="20"/>
                <w:color w:val="auto"/>
              </w:rPr>
            </w:pPr>
            <w:r>
              <w:rPr>
                <w:rFonts w:ascii="Arial" w:cs="Arial" w:eastAsia="Arial" w:hAnsi="Arial"/>
                <w:sz w:val="16"/>
                <w:szCs w:val="16"/>
                <w:color w:val="auto"/>
              </w:rPr>
              <w:t>Debt securities, cash, and cash equivalents</w:t>
            </w:r>
          </w:p>
        </w:tc>
        <w:tc>
          <w:tcPr>
            <w:tcW w:w="1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10,593</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8,000</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1,285</w:t>
            </w:r>
          </w:p>
        </w:tc>
        <w:tc>
          <w:tcPr>
            <w:tcW w:w="0" w:type="dxa"/>
            <w:vAlign w:val="bottom"/>
          </w:tcPr>
          <w:p>
            <w:pPr>
              <w:spacing w:after="0"/>
              <w:rPr>
                <w:sz w:val="1"/>
                <w:szCs w:val="1"/>
                <w:color w:val="auto"/>
              </w:rPr>
            </w:pPr>
          </w:p>
        </w:tc>
      </w:tr>
      <w:tr>
        <w:trPr>
          <w:trHeight w:val="29"/>
        </w:trPr>
        <w:tc>
          <w:tcPr>
            <w:tcW w:w="4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color w:val="auto"/>
              </w:rPr>
              <w:t>Real estate</w:t>
            </w:r>
          </w:p>
        </w:tc>
        <w:tc>
          <w:tcPr>
            <w:tcW w:w="138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1,100</w:t>
            </w:r>
          </w:p>
        </w:tc>
        <w:tc>
          <w:tcPr>
            <w:tcW w:w="18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476</w:t>
            </w:r>
          </w:p>
        </w:tc>
        <w:tc>
          <w:tcPr>
            <w:tcW w:w="20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623</w:t>
            </w:r>
          </w:p>
        </w:tc>
        <w:tc>
          <w:tcPr>
            <w:tcW w:w="0" w:type="dxa"/>
            <w:vAlign w:val="bottom"/>
          </w:tcPr>
          <w:p>
            <w:pPr>
              <w:spacing w:after="0"/>
              <w:rPr>
                <w:sz w:val="1"/>
                <w:szCs w:val="1"/>
                <w:color w:val="auto"/>
              </w:rPr>
            </w:pPr>
          </w:p>
        </w:tc>
      </w:tr>
      <w:tr>
        <w:trPr>
          <w:trHeight w:val="228"/>
        </w:trPr>
        <w:tc>
          <w:tcPr>
            <w:tcW w:w="4360" w:type="dxa"/>
            <w:vAlign w:val="bottom"/>
          </w:tcPr>
          <w:p>
            <w:pPr>
              <w:ind w:left="40"/>
              <w:spacing w:after="0"/>
              <w:rPr>
                <w:sz w:val="20"/>
                <w:szCs w:val="20"/>
                <w:color w:val="auto"/>
              </w:rPr>
            </w:pPr>
            <w:r>
              <w:rPr>
                <w:rFonts w:ascii="Arial" w:cs="Arial" w:eastAsia="Arial" w:hAnsi="Arial"/>
                <w:sz w:val="16"/>
                <w:szCs w:val="16"/>
                <w:color w:val="auto"/>
              </w:rPr>
              <w:t>Private equities and other investments</w:t>
            </w:r>
          </w:p>
        </w:tc>
        <w:tc>
          <w:tcPr>
            <w:tcW w:w="13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1,877</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1,602</w:t>
            </w:r>
          </w:p>
        </w:tc>
        <w:tc>
          <w:tcPr>
            <w:tcW w:w="0" w:type="dxa"/>
            <w:vAlign w:val="bottom"/>
          </w:tcPr>
          <w:p>
            <w:pPr>
              <w:spacing w:after="0"/>
              <w:rPr>
                <w:sz w:val="1"/>
                <w:szCs w:val="1"/>
                <w:color w:val="auto"/>
              </w:rPr>
            </w:pPr>
          </w:p>
        </w:tc>
      </w:tr>
      <w:tr>
        <w:trPr>
          <w:trHeight w:val="29"/>
        </w:trPr>
        <w:tc>
          <w:tcPr>
            <w:tcW w:w="43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3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Fair value of plan assets</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17,654</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2,258</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8,091</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692</w:t>
            </w:r>
          </w:p>
        </w:tc>
        <w:tc>
          <w:tcPr>
            <w:tcW w:w="20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6,612</w:t>
            </w:r>
          </w:p>
        </w:tc>
        <w:tc>
          <w:tcPr>
            <w:tcW w:w="0" w:type="dxa"/>
            <w:vAlign w:val="bottom"/>
          </w:tcPr>
          <w:p>
            <w:pPr>
              <w:spacing w:after="0"/>
              <w:rPr>
                <w:sz w:val="1"/>
                <w:szCs w:val="1"/>
                <w:color w:val="auto"/>
              </w:rPr>
            </w:pPr>
          </w:p>
        </w:tc>
      </w:tr>
      <w:tr>
        <w:trPr>
          <w:trHeight w:val="20"/>
        </w:trPr>
        <w:tc>
          <w:tcPr>
            <w:tcW w:w="4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260" w:right="300" w:hanging="252"/>
        <w:spacing w:after="0" w:line="304" w:lineRule="auto"/>
        <w:tabs>
          <w:tab w:leader="none" w:pos="2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Certain assets that are measured at fair value using the NAV per share (or its equivalent), as a practical expedient, have not been classified in the fair value hierarchy.</w:t>
      </w:r>
    </w:p>
    <w:p>
      <w:pPr>
        <w:spacing w:after="0" w:line="168" w:lineRule="exact"/>
        <w:rPr>
          <w:sz w:val="20"/>
          <w:szCs w:val="20"/>
          <w:color w:val="auto"/>
        </w:rPr>
      </w:pPr>
    </w:p>
    <w:p>
      <w:pPr>
        <w:jc w:val="both"/>
        <w:ind w:right="180"/>
        <w:spacing w:after="0" w:line="265" w:lineRule="auto"/>
        <w:rPr>
          <w:sz w:val="20"/>
          <w:szCs w:val="20"/>
          <w:color w:val="auto"/>
        </w:rPr>
      </w:pPr>
      <w:r>
        <w:rPr>
          <w:rFonts w:ascii="Arial" w:cs="Arial" w:eastAsia="Arial" w:hAnsi="Arial"/>
          <w:sz w:val="16"/>
          <w:szCs w:val="16"/>
          <w:color w:val="auto"/>
        </w:rPr>
        <w:t>As of December 31, 2025 and 2024, the fair value of plan assets that used significant unobservable inputs (Level 3) was $2,564 million and $692 million, respectively. These assets primarily relate to an annuity contract, real estate, and private equity investments. The changes to the balances of Level 3 plan assets during 2025 were primarily driven by the buy-in transaction for the U.K. defined benefit pension plan described above. The changes to the balances of Level 3 plan assets during 2024 were not significant.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40" w:type="dxa"/>
            <w:vAlign w:val="bottom"/>
          </w:tcPr>
          <w:p>
            <w:pPr>
              <w:ind w:left="20"/>
              <w:spacing w:after="0"/>
              <w:rPr>
                <w:sz w:val="20"/>
                <w:szCs w:val="20"/>
                <w:color w:val="auto"/>
              </w:rPr>
            </w:pPr>
            <w:r>
              <w:rPr>
                <w:rFonts w:ascii="Arial" w:cs="Arial" w:eastAsia="Arial" w:hAnsi="Arial"/>
                <w:sz w:val="16"/>
                <w:szCs w:val="16"/>
                <w:b w:val="1"/>
                <w:bCs w:val="1"/>
                <w:color w:val="auto"/>
              </w:rPr>
              <w:t>Weighted Average Asset Allocation of Pension Plans</w:t>
            </w:r>
          </w:p>
        </w:tc>
        <w:tc>
          <w:tcPr>
            <w:tcW w:w="3560" w:type="dxa"/>
            <w:vAlign w:val="bottom"/>
          </w:tcPr>
          <w:p>
            <w:pPr>
              <w:jc w:val="right"/>
              <w:ind w:right="339"/>
              <w:spacing w:after="0"/>
              <w:rPr>
                <w:sz w:val="20"/>
                <w:szCs w:val="20"/>
                <w:color w:val="auto"/>
              </w:rPr>
            </w:pPr>
            <w:r>
              <w:rPr>
                <w:rFonts w:ascii="Arial" w:cs="Arial" w:eastAsia="Arial" w:hAnsi="Arial"/>
                <w:sz w:val="16"/>
                <w:szCs w:val="16"/>
                <w:b w:val="1"/>
                <w:bCs w:val="1"/>
                <w:color w:val="454545"/>
              </w:rPr>
              <w:t>2025 Target</w:t>
            </w: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454545"/>
              </w:rPr>
              <w:t>2025 Actual</w:t>
            </w:r>
          </w:p>
        </w:tc>
      </w:tr>
      <w:tr>
        <w:trPr>
          <w:trHeight w:val="21"/>
        </w:trPr>
        <w:tc>
          <w:tcPr>
            <w:tcW w:w="6340" w:type="dxa"/>
            <w:vAlign w:val="bottom"/>
            <w:tcBorders>
              <w:bottom w:val="single" w:sz="8" w:color="6022A6"/>
            </w:tcBorders>
          </w:tcPr>
          <w:p>
            <w:pPr>
              <w:spacing w:after="0" w:line="20" w:lineRule="exact"/>
              <w:rPr>
                <w:sz w:val="1"/>
                <w:szCs w:val="1"/>
                <w:color w:val="auto"/>
              </w:rPr>
            </w:pPr>
          </w:p>
        </w:tc>
        <w:tc>
          <w:tcPr>
            <w:tcW w:w="356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r>
      <w:tr>
        <w:trPr>
          <w:trHeight w:val="230"/>
        </w:trPr>
        <w:tc>
          <w:tcPr>
            <w:tcW w:w="6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Global equity securities</w:t>
            </w:r>
          </w:p>
        </w:tc>
        <w:tc>
          <w:tcPr>
            <w:tcW w:w="356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22 %</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26 %</w:t>
            </w:r>
          </w:p>
        </w:tc>
      </w:tr>
      <w:tr>
        <w:trPr>
          <w:trHeight w:val="228"/>
        </w:trPr>
        <w:tc>
          <w:tcPr>
            <w:tcW w:w="6340" w:type="dxa"/>
            <w:vAlign w:val="bottom"/>
          </w:tcPr>
          <w:p>
            <w:pPr>
              <w:ind w:left="20"/>
              <w:spacing w:after="0"/>
              <w:rPr>
                <w:sz w:val="20"/>
                <w:szCs w:val="20"/>
                <w:color w:val="auto"/>
              </w:rPr>
            </w:pPr>
            <w:r>
              <w:rPr>
                <w:rFonts w:ascii="Arial" w:cs="Arial" w:eastAsia="Arial" w:hAnsi="Arial"/>
                <w:sz w:val="16"/>
                <w:szCs w:val="16"/>
                <w:color w:val="auto"/>
              </w:rPr>
              <w:t>Debt securities, cash, and cash equivalents</w:t>
            </w:r>
          </w:p>
        </w:tc>
        <w:tc>
          <w:tcPr>
            <w:tcW w:w="3560" w:type="dxa"/>
            <w:vAlign w:val="bottom"/>
          </w:tcPr>
          <w:p>
            <w:pPr>
              <w:jc w:val="right"/>
              <w:ind w:right="99"/>
              <w:spacing w:after="0"/>
              <w:rPr>
                <w:sz w:val="20"/>
                <w:szCs w:val="20"/>
                <w:color w:val="auto"/>
              </w:rPr>
            </w:pPr>
            <w:r>
              <w:rPr>
                <w:rFonts w:ascii="Arial" w:cs="Arial" w:eastAsia="Arial" w:hAnsi="Arial"/>
                <w:sz w:val="16"/>
                <w:szCs w:val="16"/>
                <w:color w:val="auto"/>
              </w:rPr>
              <w:t>49 %</w:t>
            </w:r>
          </w:p>
        </w:tc>
        <w:tc>
          <w:tcPr>
            <w:tcW w:w="134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9"/>
        </w:trPr>
        <w:tc>
          <w:tcPr>
            <w:tcW w:w="63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6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Real estate</w:t>
            </w:r>
          </w:p>
        </w:tc>
        <w:tc>
          <w:tcPr>
            <w:tcW w:w="356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5 %</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4 %</w:t>
            </w:r>
          </w:p>
        </w:tc>
      </w:tr>
      <w:tr>
        <w:trPr>
          <w:trHeight w:val="227"/>
        </w:trPr>
        <w:tc>
          <w:tcPr>
            <w:tcW w:w="6340" w:type="dxa"/>
            <w:vAlign w:val="bottom"/>
          </w:tcPr>
          <w:p>
            <w:pPr>
              <w:ind w:left="20"/>
              <w:spacing w:after="0"/>
              <w:rPr>
                <w:sz w:val="20"/>
                <w:szCs w:val="20"/>
                <w:color w:val="auto"/>
              </w:rPr>
            </w:pPr>
            <w:r>
              <w:rPr>
                <w:rFonts w:ascii="Arial" w:cs="Arial" w:eastAsia="Arial" w:hAnsi="Arial"/>
                <w:sz w:val="16"/>
                <w:szCs w:val="16"/>
                <w:color w:val="auto"/>
              </w:rPr>
              <w:t>Private equities and other instruments</w:t>
            </w:r>
          </w:p>
        </w:tc>
        <w:tc>
          <w:tcPr>
            <w:tcW w:w="3560" w:type="dxa"/>
            <w:vAlign w:val="bottom"/>
          </w:tcPr>
          <w:p>
            <w:pPr>
              <w:jc w:val="right"/>
              <w:ind w:right="99"/>
              <w:spacing w:after="0"/>
              <w:rPr>
                <w:sz w:val="20"/>
                <w:szCs w:val="20"/>
                <w:color w:val="auto"/>
              </w:rPr>
            </w:pPr>
            <w:r>
              <w:rPr>
                <w:rFonts w:ascii="Arial" w:cs="Arial" w:eastAsia="Arial" w:hAnsi="Arial"/>
                <w:sz w:val="16"/>
                <w:szCs w:val="16"/>
                <w:color w:val="auto"/>
              </w:rPr>
              <w:t>12 %</w:t>
            </w:r>
          </w:p>
        </w:tc>
        <w:tc>
          <w:tcPr>
            <w:tcW w:w="134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29"/>
        </w:trPr>
        <w:tc>
          <w:tcPr>
            <w:tcW w:w="63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7"/>
        </w:trPr>
        <w:tc>
          <w:tcPr>
            <w:tcW w:w="63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Annuity contract</w:t>
            </w:r>
          </w:p>
        </w:tc>
        <w:tc>
          <w:tcPr>
            <w:tcW w:w="3560" w:type="dxa"/>
            <w:vAlign w:val="bottom"/>
            <w:tcBorders>
              <w:bottom w:val="single" w:sz="8" w:color="E4E4E4"/>
            </w:tcBorders>
            <w:shd w:val="clear" w:color="auto" w:fill="E4E4E4"/>
          </w:tcPr>
          <w:p>
            <w:pPr>
              <w:jc w:val="right"/>
              <w:ind w:right="99"/>
              <w:spacing w:after="0"/>
              <w:rPr>
                <w:sz w:val="20"/>
                <w:szCs w:val="20"/>
                <w:color w:val="auto"/>
              </w:rPr>
            </w:pPr>
            <w:r>
              <w:rPr>
                <w:rFonts w:ascii="Arial" w:cs="Arial" w:eastAsia="Arial" w:hAnsi="Arial"/>
                <w:sz w:val="16"/>
                <w:szCs w:val="16"/>
                <w:color w:val="auto"/>
              </w:rPr>
              <w:t>12 %</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12 %</w:t>
            </w:r>
          </w:p>
        </w:tc>
      </w:tr>
      <w:tr>
        <w:trPr>
          <w:trHeight w:val="20"/>
        </w:trPr>
        <w:tc>
          <w:tcPr>
            <w:tcW w:w="6340" w:type="dxa"/>
            <w:vAlign w:val="bottom"/>
            <w:shd w:val="clear" w:color="auto" w:fill="000000"/>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CONTRIBUTION PLAN.</w:t>
      </w:r>
    </w:p>
    <w:p>
      <w:pPr>
        <w:spacing w:after="0" w:line="248" w:lineRule="exact"/>
        <w:rPr>
          <w:sz w:val="20"/>
          <w:szCs w:val="20"/>
          <w:color w:val="auto"/>
        </w:rPr>
      </w:pPr>
    </w:p>
    <w:p>
      <w:pPr>
        <w:jc w:val="both"/>
        <w:ind w:right="780"/>
        <w:spacing w:after="0" w:line="275" w:lineRule="auto"/>
        <w:rPr>
          <w:sz w:val="20"/>
          <w:szCs w:val="20"/>
          <w:color w:val="auto"/>
        </w:rPr>
      </w:pPr>
      <w:r>
        <w:rPr>
          <w:rFonts w:ascii="Arial" w:cs="Arial" w:eastAsia="Arial" w:hAnsi="Arial"/>
          <w:sz w:val="16"/>
          <w:szCs w:val="16"/>
          <w:color w:val="auto"/>
        </w:rPr>
        <w:t>GE HealthCare sponsors a defined contribution plan for its eligible U.S. employees. Expenses associated with our employees’ participation in GE HealthCare’s defined contribution plan were $154 million, $130 million, and $122 million for the years ended December 31, 2025, 2024, and 2023,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57" w:lineRule="exact"/>
        <w:rPr>
          <w:sz w:val="20"/>
          <w:szCs w:val="20"/>
          <w:color w:val="auto"/>
        </w:rPr>
      </w:pPr>
    </w:p>
    <w:p>
      <w:pPr>
        <w:jc w:val="both"/>
        <w:ind w:right="100"/>
        <w:spacing w:after="0" w:line="275" w:lineRule="auto"/>
        <w:rPr>
          <w:sz w:val="20"/>
          <w:szCs w:val="20"/>
          <w:color w:val="auto"/>
        </w:rPr>
      </w:pPr>
      <w:r>
        <w:rPr>
          <w:rFonts w:ascii="Arial" w:cs="Arial" w:eastAsia="Arial" w:hAnsi="Arial"/>
          <w:sz w:val="16"/>
          <w:szCs w:val="16"/>
          <w:color w:val="auto"/>
        </w:rPr>
        <w:t>The Company is subject to income taxes in the U.S. (both federal and state) and in numerous foreign jurisdictions. Changes in the tax laws or regulations in these jurisdictions, or in positions by the relevant authorities regarding their application, administration, or interpretation, may affect our tax liability, return on investments, and business operations.</w:t>
      </w:r>
    </w:p>
    <w:p>
      <w:pPr>
        <w:spacing w:after="0" w:line="191"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The Tax Cuts and Jobs Act imposes tax on the Company for net controlled foreign corporation (“CFC”) tested income earned by certain non-U.S. subsidiaries (previously referred to as global intangible low-taxed income or “GILTI”). We have elected to account for net CFC tested income as a period cost. On July 4, 2025, the One Big Beautiful Bill Act (“OBBBA”) was signed into U.S. law, which includes significant changes to the federal income tax system. The Company has recorded the OBBBA tax impacts in its provision for income taxes for the year ended December 31, 2025, none of which are material to our financial statements.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00" w:type="dxa"/>
            <w:vAlign w:val="bottom"/>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56"/>
        </w:trPr>
        <w:tc>
          <w:tcPr>
            <w:tcW w:w="68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520" w:type="dxa"/>
            <w:vAlign w:val="bottom"/>
            <w:gridSpan w:val="5"/>
          </w:tcPr>
          <w:p>
            <w:pPr>
              <w:jc w:val="center"/>
              <w:ind w:right="81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454545"/>
            </w:tcBorders>
            <w:gridSpan w:val="2"/>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9"/>
        </w:trPr>
        <w:tc>
          <w:tcPr>
            <w:tcW w:w="6800" w:type="dxa"/>
            <w:vAlign w:val="bottom"/>
          </w:tcPr>
          <w:p>
            <w:pPr>
              <w:spacing w:after="0"/>
              <w:rPr>
                <w:sz w:val="19"/>
                <w:szCs w:val="19"/>
                <w:color w:val="auto"/>
              </w:rPr>
            </w:pPr>
          </w:p>
        </w:tc>
        <w:tc>
          <w:tcPr>
            <w:tcW w:w="146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454545"/>
              </w:rPr>
              <w:t>2025</w:t>
            </w:r>
          </w:p>
        </w:tc>
        <w:tc>
          <w:tcPr>
            <w:tcW w:w="360" w:type="dxa"/>
            <w:vAlign w:val="bottom"/>
          </w:tcPr>
          <w:p>
            <w:pPr>
              <w:spacing w:after="0"/>
              <w:rPr>
                <w:sz w:val="19"/>
                <w:szCs w:val="19"/>
                <w:color w:val="auto"/>
              </w:rPr>
            </w:pPr>
          </w:p>
        </w:tc>
        <w:tc>
          <w:tcPr>
            <w:tcW w:w="1140" w:type="dxa"/>
            <w:vAlign w:val="bottom"/>
          </w:tcPr>
          <w:p>
            <w:pPr>
              <w:jc w:val="center"/>
              <w:ind w:right="219"/>
              <w:spacing w:after="0"/>
              <w:rPr>
                <w:sz w:val="20"/>
                <w:szCs w:val="20"/>
                <w:color w:val="auto"/>
              </w:rPr>
            </w:pPr>
            <w:r>
              <w:rPr>
                <w:rFonts w:ascii="Arial" w:cs="Arial" w:eastAsia="Arial" w:hAnsi="Arial"/>
                <w:sz w:val="16"/>
                <w:szCs w:val="16"/>
                <w:b w:val="1"/>
                <w:bCs w:val="1"/>
                <w:color w:val="454545"/>
              </w:rPr>
              <w:t>2024</w:t>
            </w:r>
          </w:p>
        </w:tc>
        <w:tc>
          <w:tcPr>
            <w:tcW w:w="560" w:type="dxa"/>
            <w:vAlign w:val="bottom"/>
          </w:tcPr>
          <w:p>
            <w:pPr>
              <w:spacing w:after="0"/>
              <w:rPr>
                <w:sz w:val="19"/>
                <w:szCs w:val="19"/>
                <w:color w:val="auto"/>
              </w:rPr>
            </w:pPr>
          </w:p>
        </w:tc>
        <w:tc>
          <w:tcPr>
            <w:tcW w:w="920" w:type="dxa"/>
            <w:vAlign w:val="bottom"/>
          </w:tcPr>
          <w:p>
            <w:pPr>
              <w:jc w:val="right"/>
              <w:ind w:right="479"/>
              <w:spacing w:after="0"/>
              <w:rPr>
                <w:sz w:val="20"/>
                <w:szCs w:val="20"/>
                <w:color w:val="auto"/>
              </w:rPr>
            </w:pPr>
            <w:r>
              <w:rPr>
                <w:rFonts w:ascii="Arial" w:cs="Arial" w:eastAsia="Arial" w:hAnsi="Arial"/>
                <w:sz w:val="16"/>
                <w:szCs w:val="16"/>
                <w:b w:val="1"/>
                <w:bCs w:val="1"/>
                <w:color w:val="454545"/>
                <w:w w:val="95"/>
              </w:rPr>
              <w:t>2023</w:t>
            </w:r>
          </w:p>
        </w:tc>
      </w:tr>
      <w:tr>
        <w:trPr>
          <w:trHeight w:val="21"/>
        </w:trPr>
        <w:tc>
          <w:tcPr>
            <w:tcW w:w="6800" w:type="dxa"/>
            <w:vAlign w:val="bottom"/>
            <w:tcBorders>
              <w:bottom w:val="single" w:sz="8" w:color="6400A0"/>
            </w:tcBorders>
          </w:tcPr>
          <w:p>
            <w:pPr>
              <w:spacing w:after="0" w:line="20" w:lineRule="exact"/>
              <w:rPr>
                <w:sz w:val="1"/>
                <w:szCs w:val="1"/>
                <w:color w:val="auto"/>
              </w:rPr>
            </w:pPr>
          </w:p>
        </w:tc>
        <w:tc>
          <w:tcPr>
            <w:tcW w:w="20" w:type="dxa"/>
            <w:vAlign w:val="bottom"/>
            <w:tcBorders>
              <w:bottom w:val="single" w:sz="8" w:color="6400A0"/>
            </w:tcBorders>
          </w:tcPr>
          <w:p>
            <w:pPr>
              <w:spacing w:after="0" w:line="20" w:lineRule="exact"/>
              <w:rPr>
                <w:sz w:val="1"/>
                <w:szCs w:val="1"/>
                <w:color w:val="auto"/>
              </w:rPr>
            </w:pPr>
          </w:p>
        </w:tc>
        <w:tc>
          <w:tcPr>
            <w:tcW w:w="900" w:type="dxa"/>
            <w:vAlign w:val="bottom"/>
            <w:tcBorders>
              <w:bottom w:val="single" w:sz="8" w:color="6400A0"/>
            </w:tcBorders>
          </w:tcPr>
          <w:p>
            <w:pPr>
              <w:spacing w:after="0" w:line="20" w:lineRule="exact"/>
              <w:rPr>
                <w:sz w:val="1"/>
                <w:szCs w:val="1"/>
                <w:color w:val="auto"/>
              </w:rPr>
            </w:pPr>
          </w:p>
        </w:tc>
        <w:tc>
          <w:tcPr>
            <w:tcW w:w="540" w:type="dxa"/>
            <w:vAlign w:val="bottom"/>
            <w:tcBorders>
              <w:bottom w:val="single" w:sz="8" w:color="6400A0"/>
            </w:tcBorders>
          </w:tcPr>
          <w:p>
            <w:pPr>
              <w:spacing w:after="0" w:line="20" w:lineRule="exact"/>
              <w:rPr>
                <w:sz w:val="1"/>
                <w:szCs w:val="1"/>
                <w:color w:val="auto"/>
              </w:rPr>
            </w:pPr>
          </w:p>
        </w:tc>
        <w:tc>
          <w:tcPr>
            <w:tcW w:w="36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c>
          <w:tcPr>
            <w:tcW w:w="56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r>
      <w:tr>
        <w:trPr>
          <w:trHeight w:val="216"/>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U.S. income</w:t>
            </w:r>
          </w:p>
        </w:tc>
        <w:tc>
          <w:tcPr>
            <w:tcW w:w="920" w:type="dxa"/>
            <w:vAlign w:val="bottom"/>
            <w:tcBorders>
              <w:bottom w:val="single" w:sz="8" w:color="E4E4E4"/>
            </w:tcBorders>
            <w:gridSpan w:val="2"/>
            <w:shd w:val="clear" w:color="auto" w:fill="E4E4E4"/>
          </w:tcPr>
          <w:p>
            <w:pPr>
              <w:jc w:val="right"/>
              <w:ind w:right="78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1,028</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593</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816</w:t>
            </w:r>
          </w:p>
        </w:tc>
      </w:tr>
      <w:tr>
        <w:trPr>
          <w:trHeight w:val="215"/>
        </w:trPr>
        <w:tc>
          <w:tcPr>
            <w:tcW w:w="6800" w:type="dxa"/>
            <w:vAlign w:val="bottom"/>
          </w:tcPr>
          <w:p>
            <w:pPr>
              <w:ind w:left="20"/>
              <w:spacing w:after="0"/>
              <w:rPr>
                <w:sz w:val="20"/>
                <w:szCs w:val="20"/>
                <w:color w:val="auto"/>
              </w:rPr>
            </w:pPr>
            <w:r>
              <w:rPr>
                <w:rFonts w:ascii="Arial" w:cs="Arial" w:eastAsia="Arial" w:hAnsi="Arial"/>
                <w:sz w:val="16"/>
                <w:szCs w:val="16"/>
                <w:color w:val="auto"/>
              </w:rPr>
              <w:t>Non-U.S. income</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1,740</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1,988</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1,545</w:t>
            </w:r>
          </w:p>
        </w:tc>
      </w:tr>
      <w:tr>
        <w:trPr>
          <w:trHeight w:val="28"/>
        </w:trPr>
        <w:tc>
          <w:tcPr>
            <w:tcW w:w="6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1"/>
        </w:trPr>
        <w:tc>
          <w:tcPr>
            <w:tcW w:w="68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Borders>
              <w:bottom w:val="single" w:sz="8" w:color="E4E4E4"/>
            </w:tcBorders>
            <w:gridSpan w:val="2"/>
            <w:shd w:val="clear" w:color="auto" w:fill="E4E4E4"/>
          </w:tcPr>
          <w:p>
            <w:pPr>
              <w:jc w:val="right"/>
              <w:ind w:right="780"/>
              <w:spacing w:after="0"/>
              <w:rPr>
                <w:sz w:val="20"/>
                <w:szCs w:val="20"/>
                <w:color w:val="auto"/>
              </w:rPr>
            </w:pPr>
            <w:r>
              <w:rPr>
                <w:rFonts w:ascii="Arial" w:cs="Arial" w:eastAsia="Arial" w:hAnsi="Arial"/>
                <w:sz w:val="16"/>
                <w:szCs w:val="16"/>
                <w:b w:val="1"/>
                <w:bCs w:val="1"/>
                <w:color w:val="auto"/>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2,768</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2,581</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2,361</w:t>
            </w:r>
          </w:p>
        </w:tc>
      </w:tr>
      <w:tr>
        <w:trPr>
          <w:trHeight w:val="593"/>
        </w:trPr>
        <w:tc>
          <w:tcPr>
            <w:tcW w:w="68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gridSpan w:val="4"/>
          </w:tcPr>
          <w:p>
            <w:pPr>
              <w:jc w:val="center"/>
              <w:spacing w:after="0"/>
              <w:rPr>
                <w:sz w:val="20"/>
                <w:szCs w:val="20"/>
                <w:color w:val="auto"/>
              </w:rPr>
            </w:pPr>
            <w:r>
              <w:rPr>
                <w:rFonts w:ascii="Arial" w:cs="Arial" w:eastAsia="Arial" w:hAnsi="Arial"/>
                <w:sz w:val="16"/>
                <w:szCs w:val="16"/>
                <w:b w:val="1"/>
                <w:bCs w:val="1"/>
                <w:color w:val="454545"/>
              </w:rPr>
              <w:t>For the years ended December 31</w:t>
            </w:r>
          </w:p>
        </w:tc>
        <w:tc>
          <w:tcPr>
            <w:tcW w:w="920" w:type="dxa"/>
            <w:vAlign w:val="bottom"/>
            <w:tcBorders>
              <w:top w:val="single" w:sz="8" w:color="auto"/>
            </w:tcBorders>
          </w:tcPr>
          <w:p>
            <w:pPr>
              <w:spacing w:after="0"/>
              <w:rPr>
                <w:sz w:val="24"/>
                <w:szCs w:val="24"/>
                <w:color w:val="auto"/>
              </w:rPr>
            </w:pPr>
          </w:p>
        </w:tc>
      </w:tr>
      <w:tr>
        <w:trPr>
          <w:trHeight w:val="21"/>
        </w:trPr>
        <w:tc>
          <w:tcPr>
            <w:tcW w:w="6800" w:type="dxa"/>
            <w:vAlign w:val="bottom"/>
          </w:tcPr>
          <w:p>
            <w:pPr>
              <w:spacing w:after="0" w:line="20" w:lineRule="exact"/>
              <w:rPr>
                <w:sz w:val="1"/>
                <w:szCs w:val="1"/>
                <w:color w:val="auto"/>
              </w:rPr>
            </w:pPr>
          </w:p>
        </w:tc>
        <w:tc>
          <w:tcPr>
            <w:tcW w:w="920" w:type="dxa"/>
            <w:vAlign w:val="bottom"/>
            <w:tcBorders>
              <w:bottom w:val="single" w:sz="8" w:color="454545"/>
            </w:tcBorders>
            <w:gridSpan w:val="2"/>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20"/>
        </w:trPr>
        <w:tc>
          <w:tcPr>
            <w:tcW w:w="6800" w:type="dxa"/>
            <w:vAlign w:val="bottom"/>
            <w:tcBorders>
              <w:bottom w:val="single" w:sz="8" w:color="6400A0"/>
            </w:tcBorders>
          </w:tcPr>
          <w:p>
            <w:pPr>
              <w:spacing w:after="0"/>
              <w:rPr>
                <w:sz w:val="19"/>
                <w:szCs w:val="19"/>
                <w:color w:val="auto"/>
              </w:rPr>
            </w:pPr>
          </w:p>
        </w:tc>
        <w:tc>
          <w:tcPr>
            <w:tcW w:w="920" w:type="dxa"/>
            <w:vAlign w:val="bottom"/>
            <w:tcBorders>
              <w:bottom w:val="single" w:sz="8" w:color="6400A0"/>
            </w:tcBorders>
            <w:gridSpan w:val="2"/>
          </w:tcPr>
          <w:p>
            <w:pPr>
              <w:jc w:val="right"/>
              <w:spacing w:after="0"/>
              <w:rPr>
                <w:sz w:val="20"/>
                <w:szCs w:val="20"/>
                <w:color w:val="auto"/>
              </w:rPr>
            </w:pPr>
            <w:r>
              <w:rPr>
                <w:rFonts w:ascii="Arial" w:cs="Arial" w:eastAsia="Arial" w:hAnsi="Arial"/>
                <w:sz w:val="16"/>
                <w:szCs w:val="16"/>
                <w:b w:val="1"/>
                <w:bCs w:val="1"/>
                <w:color w:val="454545"/>
              </w:rPr>
              <w:t>2025</w:t>
            </w:r>
          </w:p>
        </w:tc>
        <w:tc>
          <w:tcPr>
            <w:tcW w:w="540" w:type="dxa"/>
            <w:vAlign w:val="bottom"/>
            <w:tcBorders>
              <w:bottom w:val="single" w:sz="8" w:color="6400A0"/>
            </w:tcBorders>
          </w:tcPr>
          <w:p>
            <w:pPr>
              <w:spacing w:after="0"/>
              <w:rPr>
                <w:sz w:val="19"/>
                <w:szCs w:val="19"/>
                <w:color w:val="auto"/>
              </w:rPr>
            </w:pPr>
          </w:p>
        </w:tc>
        <w:tc>
          <w:tcPr>
            <w:tcW w:w="360" w:type="dxa"/>
            <w:vAlign w:val="bottom"/>
            <w:tcBorders>
              <w:bottom w:val="single" w:sz="8" w:color="6400A0"/>
            </w:tcBorders>
          </w:tcPr>
          <w:p>
            <w:pPr>
              <w:spacing w:after="0"/>
              <w:rPr>
                <w:sz w:val="19"/>
                <w:szCs w:val="19"/>
                <w:color w:val="auto"/>
              </w:rPr>
            </w:pPr>
          </w:p>
        </w:tc>
        <w:tc>
          <w:tcPr>
            <w:tcW w:w="1140" w:type="dxa"/>
            <w:vAlign w:val="bottom"/>
            <w:tcBorders>
              <w:bottom w:val="single" w:sz="8" w:color="6400A0"/>
            </w:tcBorders>
          </w:tcPr>
          <w:p>
            <w:pPr>
              <w:jc w:val="center"/>
              <w:ind w:right="259"/>
              <w:spacing w:after="0"/>
              <w:rPr>
                <w:sz w:val="20"/>
                <w:szCs w:val="20"/>
                <w:color w:val="auto"/>
              </w:rPr>
            </w:pPr>
            <w:r>
              <w:rPr>
                <w:rFonts w:ascii="Arial" w:cs="Arial" w:eastAsia="Arial" w:hAnsi="Arial"/>
                <w:sz w:val="16"/>
                <w:szCs w:val="16"/>
                <w:b w:val="1"/>
                <w:bCs w:val="1"/>
                <w:color w:val="454545"/>
              </w:rPr>
              <w:t>2024</w:t>
            </w:r>
          </w:p>
        </w:tc>
        <w:tc>
          <w:tcPr>
            <w:tcW w:w="560" w:type="dxa"/>
            <w:vAlign w:val="bottom"/>
            <w:tcBorders>
              <w:bottom w:val="single" w:sz="8" w:color="6400A0"/>
            </w:tcBorders>
          </w:tcPr>
          <w:p>
            <w:pPr>
              <w:spacing w:after="0"/>
              <w:rPr>
                <w:sz w:val="19"/>
                <w:szCs w:val="19"/>
                <w:color w:val="auto"/>
              </w:rPr>
            </w:pPr>
          </w:p>
        </w:tc>
        <w:tc>
          <w:tcPr>
            <w:tcW w:w="920" w:type="dxa"/>
            <w:vAlign w:val="bottom"/>
            <w:tcBorders>
              <w:bottom w:val="single" w:sz="8" w:color="6400A0"/>
            </w:tcBorders>
          </w:tcPr>
          <w:p>
            <w:pPr>
              <w:jc w:val="right"/>
              <w:ind w:right="479"/>
              <w:spacing w:after="0"/>
              <w:rPr>
                <w:sz w:val="20"/>
                <w:szCs w:val="20"/>
                <w:color w:val="auto"/>
              </w:rPr>
            </w:pPr>
            <w:r>
              <w:rPr>
                <w:rFonts w:ascii="Arial" w:cs="Arial" w:eastAsia="Arial" w:hAnsi="Arial"/>
                <w:sz w:val="16"/>
                <w:szCs w:val="16"/>
                <w:b w:val="1"/>
                <w:bCs w:val="1"/>
                <w:color w:val="454545"/>
                <w:w w:val="95"/>
              </w:rPr>
              <w:t>2023</w:t>
            </w:r>
          </w:p>
        </w:tc>
      </w:tr>
      <w:tr>
        <w:trPr>
          <w:trHeight w:val="226"/>
        </w:trPr>
        <w:tc>
          <w:tcPr>
            <w:tcW w:w="68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Current</w:t>
            </w:r>
          </w:p>
        </w:tc>
        <w:tc>
          <w:tcPr>
            <w:tcW w:w="20" w:type="dxa"/>
            <w:vAlign w:val="bottom"/>
            <w:shd w:val="clear" w:color="auto" w:fill="E4E4E4"/>
          </w:tcPr>
          <w:p>
            <w:pPr>
              <w:spacing w:after="0"/>
              <w:rPr>
                <w:sz w:val="19"/>
                <w:szCs w:val="19"/>
                <w:color w:val="auto"/>
              </w:rPr>
            </w:pPr>
          </w:p>
        </w:tc>
        <w:tc>
          <w:tcPr>
            <w:tcW w:w="90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140" w:type="dxa"/>
            <w:vAlign w:val="bottom"/>
            <w:shd w:val="clear" w:color="auto" w:fill="E4E4E4"/>
          </w:tcPr>
          <w:p>
            <w:pPr>
              <w:spacing w:after="0"/>
              <w:rPr>
                <w:sz w:val="19"/>
                <w:szCs w:val="19"/>
                <w:color w:val="auto"/>
              </w:rPr>
            </w:pPr>
          </w:p>
        </w:tc>
        <w:tc>
          <w:tcPr>
            <w:tcW w:w="56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r>
      <w:tr>
        <w:trPr>
          <w:trHeight w:val="222"/>
        </w:trPr>
        <w:tc>
          <w:tcPr>
            <w:tcW w:w="6800" w:type="dxa"/>
            <w:vAlign w:val="bottom"/>
          </w:tcPr>
          <w:p>
            <w:pPr>
              <w:ind w:left="280"/>
              <w:spacing w:after="0"/>
              <w:rPr>
                <w:sz w:val="20"/>
                <w:szCs w:val="20"/>
                <w:color w:val="auto"/>
              </w:rPr>
            </w:pPr>
            <w:r>
              <w:rPr>
                <w:rFonts w:ascii="Arial" w:cs="Arial" w:eastAsia="Arial" w:hAnsi="Arial"/>
                <w:sz w:val="16"/>
                <w:szCs w:val="16"/>
                <w:color w:val="auto"/>
              </w:rPr>
              <w:t>U.S. Federal</w:t>
            </w:r>
          </w:p>
        </w:tc>
        <w:tc>
          <w:tcPr>
            <w:tcW w:w="920" w:type="dxa"/>
            <w:vAlign w:val="bottom"/>
            <w:gridSpan w:val="2"/>
          </w:tcPr>
          <w:p>
            <w:pPr>
              <w:jc w:val="right"/>
              <w:ind w:right="820"/>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62</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230"/>
        </w:trPr>
        <w:tc>
          <w:tcPr>
            <w:tcW w:w="6800" w:type="dxa"/>
            <w:vAlign w:val="bottom"/>
            <w:tcBorders>
              <w:bottom w:val="single" w:sz="8" w:color="E4E4E4"/>
            </w:tcBorders>
            <w:shd w:val="clear" w:color="auto" w:fill="E4E4E4"/>
          </w:tcPr>
          <w:p>
            <w:pPr>
              <w:ind w:left="280"/>
              <w:spacing w:after="0"/>
              <w:rPr>
                <w:sz w:val="20"/>
                <w:szCs w:val="20"/>
                <w:color w:val="auto"/>
              </w:rPr>
            </w:pPr>
            <w:r>
              <w:rPr>
                <w:rFonts w:ascii="Arial" w:cs="Arial" w:eastAsia="Arial" w:hAnsi="Arial"/>
                <w:sz w:val="16"/>
                <w:szCs w:val="16"/>
                <w:color w:val="auto"/>
              </w:rPr>
              <w:t>Non-U.S.</w:t>
            </w:r>
          </w:p>
        </w:tc>
        <w:tc>
          <w:tcPr>
            <w:tcW w:w="2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317</w:t>
            </w:r>
          </w:p>
        </w:tc>
        <w:tc>
          <w:tcPr>
            <w:tcW w:w="36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412</w:t>
            </w: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345</w:t>
            </w:r>
          </w:p>
        </w:tc>
      </w:tr>
      <w:tr>
        <w:trPr>
          <w:trHeight w:val="215"/>
        </w:trPr>
        <w:tc>
          <w:tcPr>
            <w:tcW w:w="6800" w:type="dxa"/>
            <w:vAlign w:val="bottom"/>
          </w:tcPr>
          <w:p>
            <w:pPr>
              <w:ind w:left="280"/>
              <w:spacing w:after="0"/>
              <w:rPr>
                <w:sz w:val="20"/>
                <w:szCs w:val="20"/>
                <w:color w:val="auto"/>
              </w:rPr>
            </w:pPr>
            <w:r>
              <w:rPr>
                <w:rFonts w:ascii="Arial" w:cs="Arial" w:eastAsia="Arial" w:hAnsi="Arial"/>
                <w:sz w:val="16"/>
                <w:szCs w:val="16"/>
                <w:color w:val="auto"/>
              </w:rPr>
              <w:t>U.S. State</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c>
          <w:tcPr>
            <w:tcW w:w="5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8"/>
        </w:trPr>
        <w:tc>
          <w:tcPr>
            <w:tcW w:w="680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0"/>
        </w:trPr>
        <w:tc>
          <w:tcPr>
            <w:tcW w:w="680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Deferred</w:t>
            </w:r>
          </w:p>
        </w:tc>
        <w:tc>
          <w:tcPr>
            <w:tcW w:w="20" w:type="dxa"/>
            <w:vAlign w:val="bottom"/>
            <w:shd w:val="clear" w:color="auto" w:fill="E4E4E4"/>
          </w:tcPr>
          <w:p>
            <w:pPr>
              <w:spacing w:after="0"/>
              <w:rPr>
                <w:sz w:val="19"/>
                <w:szCs w:val="19"/>
                <w:color w:val="auto"/>
              </w:rPr>
            </w:pPr>
          </w:p>
        </w:tc>
        <w:tc>
          <w:tcPr>
            <w:tcW w:w="900" w:type="dxa"/>
            <w:vAlign w:val="bottom"/>
            <w:shd w:val="clear" w:color="auto" w:fill="E4E4E4"/>
          </w:tcPr>
          <w:p>
            <w:pPr>
              <w:spacing w:after="0"/>
              <w:rPr>
                <w:sz w:val="19"/>
                <w:szCs w:val="19"/>
                <w:color w:val="auto"/>
              </w:rPr>
            </w:pPr>
          </w:p>
        </w:tc>
        <w:tc>
          <w:tcPr>
            <w:tcW w:w="540" w:type="dxa"/>
            <w:vAlign w:val="bottom"/>
            <w:shd w:val="clear" w:color="auto" w:fill="E4E4E4"/>
          </w:tcPr>
          <w:p>
            <w:pPr>
              <w:spacing w:after="0"/>
              <w:rPr>
                <w:sz w:val="19"/>
                <w:szCs w:val="19"/>
                <w:color w:val="auto"/>
              </w:rPr>
            </w:pPr>
          </w:p>
        </w:tc>
        <w:tc>
          <w:tcPr>
            <w:tcW w:w="360" w:type="dxa"/>
            <w:vAlign w:val="bottom"/>
            <w:shd w:val="clear" w:color="auto" w:fill="E4E4E4"/>
          </w:tcPr>
          <w:p>
            <w:pPr>
              <w:spacing w:after="0"/>
              <w:rPr>
                <w:sz w:val="19"/>
                <w:szCs w:val="19"/>
                <w:color w:val="auto"/>
              </w:rPr>
            </w:pPr>
          </w:p>
        </w:tc>
        <w:tc>
          <w:tcPr>
            <w:tcW w:w="1140" w:type="dxa"/>
            <w:vAlign w:val="bottom"/>
            <w:shd w:val="clear" w:color="auto" w:fill="E4E4E4"/>
          </w:tcPr>
          <w:p>
            <w:pPr>
              <w:spacing w:after="0"/>
              <w:rPr>
                <w:sz w:val="19"/>
                <w:szCs w:val="19"/>
                <w:color w:val="auto"/>
              </w:rPr>
            </w:pPr>
          </w:p>
        </w:tc>
        <w:tc>
          <w:tcPr>
            <w:tcW w:w="560" w:type="dxa"/>
            <w:vAlign w:val="bottom"/>
            <w:shd w:val="clear" w:color="auto" w:fill="E4E4E4"/>
          </w:tcPr>
          <w:p>
            <w:pPr>
              <w:spacing w:after="0"/>
              <w:rPr>
                <w:sz w:val="19"/>
                <w:szCs w:val="19"/>
                <w:color w:val="auto"/>
              </w:rPr>
            </w:pPr>
          </w:p>
        </w:tc>
        <w:tc>
          <w:tcPr>
            <w:tcW w:w="920" w:type="dxa"/>
            <w:vAlign w:val="bottom"/>
            <w:shd w:val="clear" w:color="auto" w:fill="E4E4E4"/>
          </w:tcPr>
          <w:p>
            <w:pPr>
              <w:spacing w:after="0"/>
              <w:rPr>
                <w:sz w:val="19"/>
                <w:szCs w:val="19"/>
                <w:color w:val="auto"/>
              </w:rPr>
            </w:pPr>
          </w:p>
        </w:tc>
      </w:tr>
      <w:tr>
        <w:trPr>
          <w:trHeight w:val="222"/>
        </w:trPr>
        <w:tc>
          <w:tcPr>
            <w:tcW w:w="6800" w:type="dxa"/>
            <w:vAlign w:val="bottom"/>
          </w:tcPr>
          <w:p>
            <w:pPr>
              <w:ind w:left="280"/>
              <w:spacing w:after="0"/>
              <w:rPr>
                <w:sz w:val="20"/>
                <w:szCs w:val="20"/>
                <w:color w:val="auto"/>
              </w:rPr>
            </w:pPr>
            <w:r>
              <w:rPr>
                <w:rFonts w:ascii="Arial" w:cs="Arial" w:eastAsia="Arial" w:hAnsi="Arial"/>
                <w:sz w:val="16"/>
                <w:szCs w:val="16"/>
                <w:color w:val="auto"/>
              </w:rPr>
              <w:t>U.S. Federal</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110</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6800" w:type="dxa"/>
            <w:vAlign w:val="bottom"/>
            <w:tcBorders>
              <w:bottom w:val="single" w:sz="8" w:color="E4E4E4"/>
            </w:tcBorders>
            <w:shd w:val="clear" w:color="auto" w:fill="E4E4E4"/>
          </w:tcPr>
          <w:p>
            <w:pPr>
              <w:ind w:left="280"/>
              <w:spacing w:after="0"/>
              <w:rPr>
                <w:sz w:val="20"/>
                <w:szCs w:val="20"/>
                <w:color w:val="auto"/>
              </w:rPr>
            </w:pPr>
            <w:r>
              <w:rPr>
                <w:rFonts w:ascii="Arial" w:cs="Arial" w:eastAsia="Arial" w:hAnsi="Arial"/>
                <w:sz w:val="16"/>
                <w:szCs w:val="16"/>
                <w:color w:val="auto"/>
              </w:rPr>
              <w:t>Non-U.S.</w:t>
            </w:r>
          </w:p>
        </w:tc>
        <w:tc>
          <w:tcPr>
            <w:tcW w:w="20" w:type="dxa"/>
            <w:vAlign w:val="bottom"/>
            <w:tcBorders>
              <w:bottom w:val="single" w:sz="8" w:color="E4E4E4"/>
            </w:tcBorders>
            <w:shd w:val="clear" w:color="auto" w:fill="E4E4E4"/>
          </w:tcPr>
          <w:p>
            <w:pPr>
              <w:spacing w:after="0"/>
              <w:rPr>
                <w:sz w:val="20"/>
                <w:szCs w:val="20"/>
                <w:color w:val="auto"/>
              </w:rPr>
            </w:pPr>
          </w:p>
        </w:tc>
        <w:tc>
          <w:tcPr>
            <w:tcW w:w="90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131</w:t>
            </w:r>
          </w:p>
        </w:tc>
        <w:tc>
          <w:tcPr>
            <w:tcW w:w="360" w:type="dxa"/>
            <w:vAlign w:val="bottom"/>
            <w:tcBorders>
              <w:bottom w:val="single" w:sz="8" w:color="E4E4E4"/>
            </w:tcBorders>
            <w:shd w:val="clear" w:color="auto" w:fill="E4E4E4"/>
          </w:tcPr>
          <w:p>
            <w:pPr>
              <w:spacing w:after="0"/>
              <w:rPr>
                <w:sz w:val="20"/>
                <w:szCs w:val="20"/>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5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103</w:t>
            </w:r>
          </w:p>
        </w:tc>
      </w:tr>
      <w:tr>
        <w:trPr>
          <w:trHeight w:val="223"/>
        </w:trPr>
        <w:tc>
          <w:tcPr>
            <w:tcW w:w="68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U.S. State</w:t>
            </w:r>
          </w:p>
        </w:tc>
        <w:tc>
          <w:tcPr>
            <w:tcW w:w="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r>
      <w:tr>
        <w:trPr>
          <w:trHeight w:val="226"/>
        </w:trPr>
        <w:tc>
          <w:tcPr>
            <w:tcW w:w="68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Borders>
              <w:bottom w:val="single" w:sz="8" w:color="auto"/>
            </w:tcBorders>
            <w:gridSpan w:val="2"/>
            <w:shd w:val="clear" w:color="auto" w:fill="E4E4E4"/>
          </w:tcPr>
          <w:p>
            <w:pPr>
              <w:jc w:val="right"/>
              <w:ind w:right="820"/>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614</w:t>
            </w:r>
          </w:p>
        </w:tc>
        <w:tc>
          <w:tcPr>
            <w:tcW w:w="360" w:type="dxa"/>
            <w:vAlign w:val="bottom"/>
            <w:tcBorders>
              <w:bottom w:val="single" w:sz="8" w:color="auto"/>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531</w:t>
            </w:r>
          </w:p>
        </w:tc>
        <w:tc>
          <w:tcPr>
            <w:tcW w:w="560" w:type="dxa"/>
            <w:vAlign w:val="bottom"/>
            <w:tcBorders>
              <w:bottom w:val="single" w:sz="8" w:color="auto"/>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income tax rate for the year ended December 31, 2025 differs from the statutory federal income tax rate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Reconciliation of U.S. Federal Statutory Income Tax Rate to Actual Income Tax Rate</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43"/>
        </w:trPr>
        <w:tc>
          <w:tcPr>
            <w:tcW w:w="8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454545"/>
              </w:rPr>
              <w:t>For the year ended December 31, 2025</w:t>
            </w:r>
          </w:p>
        </w:tc>
      </w:tr>
      <w:tr>
        <w:trPr>
          <w:trHeight w:val="21"/>
        </w:trPr>
        <w:tc>
          <w:tcPr>
            <w:tcW w:w="802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680" w:type="dxa"/>
            <w:vAlign w:val="bottom"/>
            <w:tcBorders>
              <w:bottom w:val="single" w:sz="8" w:color="454545"/>
            </w:tcBorders>
          </w:tcPr>
          <w:p>
            <w:pPr>
              <w:spacing w:after="0" w:line="20" w:lineRule="exact"/>
              <w:rPr>
                <w:sz w:val="1"/>
                <w:szCs w:val="1"/>
                <w:color w:val="auto"/>
              </w:rPr>
            </w:pPr>
          </w:p>
        </w:tc>
        <w:tc>
          <w:tcPr>
            <w:tcW w:w="1420" w:type="dxa"/>
            <w:vAlign w:val="bottom"/>
            <w:tcBorders>
              <w:bottom w:val="single" w:sz="8" w:color="454545"/>
            </w:tcBorders>
          </w:tcPr>
          <w:p>
            <w:pPr>
              <w:spacing w:after="0" w:line="20" w:lineRule="exact"/>
              <w:rPr>
                <w:sz w:val="1"/>
                <w:szCs w:val="1"/>
                <w:color w:val="auto"/>
              </w:rPr>
            </w:pPr>
          </w:p>
        </w:tc>
      </w:tr>
      <w:tr>
        <w:trPr>
          <w:trHeight w:val="229"/>
        </w:trPr>
        <w:tc>
          <w:tcPr>
            <w:tcW w:w="8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right"/>
              <w:ind w:right="639"/>
              <w:spacing w:after="0"/>
              <w:rPr>
                <w:sz w:val="20"/>
                <w:szCs w:val="20"/>
                <w:color w:val="auto"/>
              </w:rPr>
            </w:pPr>
            <w:r>
              <w:rPr>
                <w:rFonts w:ascii="Arial" w:cs="Arial" w:eastAsia="Arial" w:hAnsi="Arial"/>
                <w:sz w:val="16"/>
                <w:szCs w:val="16"/>
                <w:b w:val="1"/>
                <w:bCs w:val="1"/>
                <w:color w:val="454545"/>
              </w:rPr>
              <w:t>Amount</w:t>
            </w:r>
          </w:p>
        </w:tc>
        <w:tc>
          <w:tcPr>
            <w:tcW w:w="1420" w:type="dxa"/>
            <w:vAlign w:val="bottom"/>
          </w:tcPr>
          <w:p>
            <w:pPr>
              <w:jc w:val="right"/>
              <w:ind w:right="459"/>
              <w:spacing w:after="0"/>
              <w:rPr>
                <w:sz w:val="20"/>
                <w:szCs w:val="20"/>
                <w:color w:val="auto"/>
              </w:rPr>
            </w:pPr>
            <w:r>
              <w:rPr>
                <w:rFonts w:ascii="Arial" w:cs="Arial" w:eastAsia="Arial" w:hAnsi="Arial"/>
                <w:sz w:val="16"/>
                <w:szCs w:val="16"/>
                <w:b w:val="1"/>
                <w:bCs w:val="1"/>
                <w:color w:val="454545"/>
              </w:rPr>
              <w:t>Percent</w:t>
            </w:r>
          </w:p>
        </w:tc>
      </w:tr>
      <w:tr>
        <w:trPr>
          <w:trHeight w:val="21"/>
        </w:trPr>
        <w:tc>
          <w:tcPr>
            <w:tcW w:w="8020" w:type="dxa"/>
            <w:vAlign w:val="bottom"/>
            <w:tcBorders>
              <w:bottom w:val="single" w:sz="8" w:color="6400A0"/>
            </w:tcBorders>
          </w:tcPr>
          <w:p>
            <w:pPr>
              <w:spacing w:after="0" w:line="20" w:lineRule="exact"/>
              <w:rPr>
                <w:sz w:val="1"/>
                <w:szCs w:val="1"/>
                <w:color w:val="auto"/>
              </w:rPr>
            </w:pPr>
          </w:p>
        </w:tc>
        <w:tc>
          <w:tcPr>
            <w:tcW w:w="120" w:type="dxa"/>
            <w:vAlign w:val="bottom"/>
            <w:tcBorders>
              <w:bottom w:val="single" w:sz="8" w:color="6400A0"/>
            </w:tcBorders>
          </w:tcPr>
          <w:p>
            <w:pPr>
              <w:spacing w:after="0" w:line="20" w:lineRule="exact"/>
              <w:rPr>
                <w:sz w:val="1"/>
                <w:szCs w:val="1"/>
                <w:color w:val="auto"/>
              </w:rPr>
            </w:pPr>
          </w:p>
        </w:tc>
        <w:tc>
          <w:tcPr>
            <w:tcW w:w="1680" w:type="dxa"/>
            <w:vAlign w:val="bottom"/>
            <w:tcBorders>
              <w:bottom w:val="single" w:sz="8" w:color="6400A0"/>
            </w:tcBorders>
          </w:tcPr>
          <w:p>
            <w:pPr>
              <w:spacing w:after="0" w:line="20" w:lineRule="exact"/>
              <w:rPr>
                <w:sz w:val="1"/>
                <w:szCs w:val="1"/>
                <w:color w:val="auto"/>
              </w:rPr>
            </w:pPr>
          </w:p>
        </w:tc>
        <w:tc>
          <w:tcPr>
            <w:tcW w:w="1420" w:type="dxa"/>
            <w:vAlign w:val="bottom"/>
            <w:tcBorders>
              <w:bottom w:val="single" w:sz="8" w:color="6400A0"/>
            </w:tcBorders>
          </w:tcPr>
          <w:p>
            <w:pPr>
              <w:spacing w:after="0" w:line="20" w:lineRule="exact"/>
              <w:rPr>
                <w:sz w:val="1"/>
                <w:szCs w:val="1"/>
                <w:color w:val="auto"/>
              </w:rPr>
            </w:pPr>
          </w:p>
        </w:tc>
      </w:tr>
      <w:tr>
        <w:trPr>
          <w:trHeight w:val="242"/>
        </w:trPr>
        <w:tc>
          <w:tcPr>
            <w:tcW w:w="8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b w:val="1"/>
                <w:bCs w:val="1"/>
                <w:color w:val="auto"/>
              </w:rPr>
              <w:t>2,768</w:t>
            </w:r>
          </w:p>
        </w:tc>
        <w:tc>
          <w:tcPr>
            <w:tcW w:w="1420" w:type="dxa"/>
            <w:vAlign w:val="bottom"/>
            <w:tcBorders>
              <w:bottom w:val="single" w:sz="8" w:color="E4E4E4"/>
            </w:tcBorders>
            <w:shd w:val="clear" w:color="auto" w:fill="E4E4E4"/>
          </w:tcPr>
          <w:p>
            <w:pPr>
              <w:spacing w:after="0"/>
              <w:rPr>
                <w:sz w:val="20"/>
                <w:szCs w:val="20"/>
                <w:color w:val="auto"/>
              </w:rPr>
            </w:pPr>
          </w:p>
        </w:tc>
      </w:tr>
      <w:tr>
        <w:trPr>
          <w:trHeight w:val="216"/>
        </w:trPr>
        <w:tc>
          <w:tcPr>
            <w:tcW w:w="80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Tax expected at 21%</w:t>
            </w:r>
          </w:p>
        </w:tc>
        <w:tc>
          <w:tcPr>
            <w:tcW w:w="1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581</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21.0 %</w:t>
            </w:r>
          </w:p>
        </w:tc>
      </w:tr>
      <w:tr>
        <w:trPr>
          <w:trHeight w:val="20"/>
        </w:trPr>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43"/>
        </w:trPr>
        <w:tc>
          <w:tcPr>
            <w:tcW w:w="80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State and local income taxes, net of federal income tax effect</w:t>
            </w:r>
            <w:r>
              <w:rPr>
                <w:rFonts w:ascii="Arial" w:cs="Arial" w:eastAsia="Arial" w:hAnsi="Arial"/>
                <w:sz w:val="21"/>
                <w:szCs w:val="21"/>
                <w:b w:val="1"/>
                <w:bCs w:val="1"/>
                <w:color w:val="auto"/>
                <w:vertAlign w:val="superscript"/>
              </w:rPr>
              <w:t>(1)</w:t>
            </w:r>
          </w:p>
        </w:tc>
        <w:tc>
          <w:tcPr>
            <w:tcW w:w="120" w:type="dxa"/>
            <w:vAlign w:val="bottom"/>
            <w:shd w:val="clear" w:color="auto" w:fill="E4E4E4"/>
          </w:tcPr>
          <w:p>
            <w:pPr>
              <w:spacing w:after="0"/>
              <w:rPr>
                <w:sz w:val="21"/>
                <w:szCs w:val="21"/>
                <w:color w:val="auto"/>
              </w:rPr>
            </w:pPr>
          </w:p>
        </w:tc>
        <w:tc>
          <w:tcPr>
            <w:tcW w:w="1680" w:type="dxa"/>
            <w:vAlign w:val="bottom"/>
            <w:shd w:val="clear" w:color="auto" w:fill="E4E4E4"/>
          </w:tcPr>
          <w:p>
            <w:pPr>
              <w:jc w:val="right"/>
              <w:ind w:right="239"/>
              <w:spacing w:after="0"/>
              <w:rPr>
                <w:sz w:val="20"/>
                <w:szCs w:val="20"/>
                <w:color w:val="auto"/>
              </w:rPr>
            </w:pPr>
            <w:r>
              <w:rPr>
                <w:rFonts w:ascii="Arial" w:cs="Arial" w:eastAsia="Arial" w:hAnsi="Arial"/>
                <w:sz w:val="16"/>
                <w:szCs w:val="16"/>
                <w:color w:val="auto"/>
              </w:rPr>
              <w:t>41</w:t>
            </w:r>
          </w:p>
        </w:tc>
        <w:tc>
          <w:tcPr>
            <w:tcW w:w="14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1.5 %</w:t>
            </w: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Foreign tax effects</w:t>
            </w: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29"/>
        </w:trPr>
        <w:tc>
          <w:tcPr>
            <w:tcW w:w="8020" w:type="dxa"/>
            <w:vAlign w:val="bottom"/>
            <w:shd w:val="clear" w:color="auto" w:fill="E4E4E4"/>
          </w:tcPr>
          <w:p>
            <w:pPr>
              <w:ind w:left="120"/>
              <w:spacing w:after="0"/>
              <w:rPr>
                <w:sz w:val="20"/>
                <w:szCs w:val="20"/>
                <w:color w:val="auto"/>
              </w:rPr>
            </w:pPr>
            <w:r>
              <w:rPr>
                <w:rFonts w:ascii="Arial" w:cs="Arial" w:eastAsia="Arial" w:hAnsi="Arial"/>
                <w:sz w:val="16"/>
                <w:szCs w:val="16"/>
                <w:color w:val="auto"/>
              </w:rPr>
              <w:t>China</w:t>
            </w:r>
          </w:p>
        </w:tc>
        <w:tc>
          <w:tcPr>
            <w:tcW w:w="120" w:type="dxa"/>
            <w:vAlign w:val="bottom"/>
            <w:shd w:val="clear" w:color="auto" w:fill="E4E4E4"/>
          </w:tcPr>
          <w:p>
            <w:pPr>
              <w:spacing w:after="0"/>
              <w:rPr>
                <w:sz w:val="19"/>
                <w:szCs w:val="19"/>
                <w:color w:val="auto"/>
              </w:rPr>
            </w:pPr>
          </w:p>
        </w:tc>
        <w:tc>
          <w:tcPr>
            <w:tcW w:w="1680" w:type="dxa"/>
            <w:vAlign w:val="bottom"/>
            <w:shd w:val="clear" w:color="auto" w:fill="E4E4E4"/>
          </w:tcPr>
          <w:p>
            <w:pPr>
              <w:jc w:val="right"/>
              <w:ind w:right="239"/>
              <w:spacing w:after="0"/>
              <w:rPr>
                <w:sz w:val="20"/>
                <w:szCs w:val="20"/>
                <w:color w:val="auto"/>
              </w:rPr>
            </w:pPr>
            <w:r>
              <w:rPr>
                <w:rFonts w:ascii="Arial" w:cs="Arial" w:eastAsia="Arial" w:hAnsi="Arial"/>
                <w:sz w:val="16"/>
                <w:szCs w:val="16"/>
                <w:color w:val="auto"/>
              </w:rPr>
              <w:t>30</w:t>
            </w:r>
          </w:p>
        </w:tc>
        <w:tc>
          <w:tcPr>
            <w:tcW w:w="14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1.1 %</w:t>
            </w:r>
          </w:p>
        </w:tc>
      </w:tr>
      <w:tr>
        <w:trPr>
          <w:trHeight w:val="215"/>
        </w:trPr>
        <w:tc>
          <w:tcPr>
            <w:tcW w:w="8020" w:type="dxa"/>
            <w:vAlign w:val="bottom"/>
          </w:tcPr>
          <w:p>
            <w:pPr>
              <w:ind w:left="120"/>
              <w:spacing w:after="0"/>
              <w:rPr>
                <w:sz w:val="20"/>
                <w:szCs w:val="20"/>
                <w:color w:val="auto"/>
              </w:rPr>
            </w:pPr>
            <w:r>
              <w:rPr>
                <w:rFonts w:ascii="Arial" w:cs="Arial" w:eastAsia="Arial" w:hAnsi="Arial"/>
                <w:sz w:val="16"/>
                <w:szCs w:val="16"/>
                <w:color w:val="auto"/>
              </w:rPr>
              <w:t>Other foreign jurisdictions</w:t>
            </w:r>
          </w:p>
        </w:tc>
        <w:tc>
          <w:tcPr>
            <w:tcW w:w="120" w:type="dxa"/>
            <w:vAlign w:val="bottom"/>
          </w:tcPr>
          <w:p>
            <w:pPr>
              <w:spacing w:after="0"/>
              <w:rPr>
                <w:sz w:val="18"/>
                <w:szCs w:val="18"/>
                <w:color w:val="auto"/>
              </w:rPr>
            </w:pP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54</w:t>
            </w:r>
          </w:p>
        </w:tc>
        <w:tc>
          <w:tcPr>
            <w:tcW w:w="142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8"/>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8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 of cross-border tax laws</w:t>
            </w:r>
          </w:p>
        </w:tc>
        <w:tc>
          <w:tcPr>
            <w:tcW w:w="12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spacing w:after="0"/>
              <w:rPr>
                <w:sz w:val="19"/>
                <w:szCs w:val="19"/>
                <w:color w:val="auto"/>
              </w:rPr>
            </w:pPr>
          </w:p>
        </w:tc>
        <w:tc>
          <w:tcPr>
            <w:tcW w:w="1420" w:type="dxa"/>
            <w:vAlign w:val="bottom"/>
            <w:tcBorders>
              <w:bottom w:val="single" w:sz="8" w:color="E4E4E4"/>
            </w:tcBorders>
            <w:shd w:val="clear" w:color="auto" w:fill="E4E4E4"/>
          </w:tcPr>
          <w:p>
            <w:pPr>
              <w:spacing w:after="0"/>
              <w:rPr>
                <w:sz w:val="19"/>
                <w:szCs w:val="19"/>
                <w:color w:val="auto"/>
              </w:rPr>
            </w:pPr>
          </w:p>
        </w:tc>
      </w:tr>
      <w:tr>
        <w:trPr>
          <w:trHeight w:val="215"/>
        </w:trPr>
        <w:tc>
          <w:tcPr>
            <w:tcW w:w="8020" w:type="dxa"/>
            <w:vAlign w:val="bottom"/>
          </w:tcPr>
          <w:p>
            <w:pPr>
              <w:ind w:left="120"/>
              <w:spacing w:after="0"/>
              <w:rPr>
                <w:sz w:val="20"/>
                <w:szCs w:val="20"/>
                <w:color w:val="auto"/>
              </w:rPr>
            </w:pPr>
            <w:r>
              <w:rPr>
                <w:rFonts w:ascii="Arial" w:cs="Arial" w:eastAsia="Arial" w:hAnsi="Arial"/>
                <w:sz w:val="16"/>
                <w:szCs w:val="16"/>
                <w:color w:val="auto"/>
              </w:rPr>
              <w:t>Foreign-derived deduction eligible income</w:t>
            </w:r>
          </w:p>
        </w:tc>
        <w:tc>
          <w:tcPr>
            <w:tcW w:w="12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(49)</w:t>
            </w:r>
          </w:p>
        </w:tc>
        <w:tc>
          <w:tcPr>
            <w:tcW w:w="14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8"/>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80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Net CFC tested income</w:t>
            </w:r>
          </w:p>
        </w:tc>
        <w:tc>
          <w:tcPr>
            <w:tcW w:w="12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45</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1.6 %</w:t>
            </w:r>
          </w:p>
        </w:tc>
      </w:tr>
      <w:tr>
        <w:trPr>
          <w:trHeight w:val="222"/>
        </w:trPr>
        <w:tc>
          <w:tcPr>
            <w:tcW w:w="8020" w:type="dxa"/>
            <w:vAlign w:val="bottom"/>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9"/>
                <w:szCs w:val="19"/>
                <w:color w:val="auto"/>
              </w:rPr>
            </w:pP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5</w:t>
            </w:r>
          </w:p>
        </w:tc>
        <w:tc>
          <w:tcPr>
            <w:tcW w:w="142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30"/>
        </w:trPr>
        <w:tc>
          <w:tcPr>
            <w:tcW w:w="8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Tax credits</w:t>
            </w:r>
          </w:p>
        </w:tc>
        <w:tc>
          <w:tcPr>
            <w:tcW w:w="120" w:type="dxa"/>
            <w:vAlign w:val="bottom"/>
            <w:tcBorders>
              <w:bottom w:val="single" w:sz="8" w:color="E4E4E4"/>
            </w:tcBorders>
            <w:shd w:val="clear" w:color="auto" w:fill="E4E4E4"/>
          </w:tcPr>
          <w:p>
            <w:pPr>
              <w:spacing w:after="0"/>
              <w:rPr>
                <w:sz w:val="20"/>
                <w:szCs w:val="20"/>
                <w:color w:val="auto"/>
              </w:rPr>
            </w:pPr>
          </w:p>
        </w:tc>
        <w:tc>
          <w:tcPr>
            <w:tcW w:w="1680" w:type="dxa"/>
            <w:vAlign w:val="bottom"/>
            <w:tcBorders>
              <w:bottom w:val="single" w:sz="8" w:color="E4E4E4"/>
            </w:tcBorders>
            <w:shd w:val="clear" w:color="auto" w:fill="E4E4E4"/>
          </w:tcPr>
          <w:p>
            <w:pPr>
              <w:spacing w:after="0"/>
              <w:rPr>
                <w:sz w:val="20"/>
                <w:szCs w:val="20"/>
                <w:color w:val="auto"/>
              </w:rPr>
            </w:pPr>
          </w:p>
        </w:tc>
        <w:tc>
          <w:tcPr>
            <w:tcW w:w="1420" w:type="dxa"/>
            <w:vAlign w:val="bottom"/>
            <w:tcBorders>
              <w:bottom w:val="single" w:sz="8" w:color="E4E4E4"/>
            </w:tcBorders>
            <w:shd w:val="clear" w:color="auto" w:fill="E4E4E4"/>
          </w:tcPr>
          <w:p>
            <w:pPr>
              <w:spacing w:after="0"/>
              <w:rPr>
                <w:sz w:val="20"/>
                <w:szCs w:val="20"/>
                <w:color w:val="auto"/>
              </w:rPr>
            </w:pPr>
          </w:p>
        </w:tc>
      </w:tr>
      <w:tr>
        <w:trPr>
          <w:trHeight w:val="215"/>
        </w:trPr>
        <w:tc>
          <w:tcPr>
            <w:tcW w:w="8020" w:type="dxa"/>
            <w:vAlign w:val="bottom"/>
          </w:tcPr>
          <w:p>
            <w:pPr>
              <w:ind w:left="120"/>
              <w:spacing w:after="0"/>
              <w:rPr>
                <w:sz w:val="20"/>
                <w:szCs w:val="20"/>
                <w:color w:val="auto"/>
              </w:rPr>
            </w:pPr>
            <w:r>
              <w:rPr>
                <w:rFonts w:ascii="Arial" w:cs="Arial" w:eastAsia="Arial" w:hAnsi="Arial"/>
                <w:sz w:val="16"/>
                <w:szCs w:val="16"/>
                <w:color w:val="auto"/>
              </w:rPr>
              <w:t>R&amp;D tax credits</w:t>
            </w:r>
          </w:p>
        </w:tc>
        <w:tc>
          <w:tcPr>
            <w:tcW w:w="12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(28)</w:t>
            </w:r>
          </w:p>
        </w:tc>
        <w:tc>
          <w:tcPr>
            <w:tcW w:w="14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8"/>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3"/>
        </w:trPr>
        <w:tc>
          <w:tcPr>
            <w:tcW w:w="8020" w:type="dxa"/>
            <w:vAlign w:val="bottom"/>
            <w:tcBorders>
              <w:bottom w:val="single" w:sz="8" w:color="E4E4E4"/>
            </w:tcBorders>
            <w:shd w:val="clear" w:color="auto" w:fill="E4E4E4"/>
          </w:tcPr>
          <w:p>
            <w:pPr>
              <w:ind w:left="120"/>
              <w:spacing w:after="0"/>
              <w:rPr>
                <w:sz w:val="20"/>
                <w:szCs w:val="20"/>
                <w:color w:val="auto"/>
              </w:rPr>
            </w:pPr>
            <w:r>
              <w:rPr>
                <w:rFonts w:ascii="Arial" w:cs="Arial" w:eastAsia="Arial" w:hAnsi="Arial"/>
                <w:sz w:val="16"/>
                <w:szCs w:val="16"/>
                <w:color w:val="auto"/>
              </w:rPr>
              <w:t>Foreign tax credits</w:t>
            </w:r>
          </w:p>
        </w:tc>
        <w:tc>
          <w:tcPr>
            <w:tcW w:w="120" w:type="dxa"/>
            <w:vAlign w:val="bottom"/>
            <w:tcBorders>
              <w:bottom w:val="single" w:sz="8" w:color="E4E4E4"/>
            </w:tcBorders>
            <w:shd w:val="clear" w:color="auto" w:fill="E4E4E4"/>
          </w:tcPr>
          <w:p>
            <w:pPr>
              <w:spacing w:after="0"/>
              <w:rPr>
                <w:sz w:val="19"/>
                <w:szCs w:val="19"/>
                <w:color w:val="auto"/>
              </w:rPr>
            </w:pPr>
          </w:p>
        </w:tc>
        <w:tc>
          <w:tcPr>
            <w:tcW w:w="16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(81)</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(2.9)%</w:t>
            </w: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Changes in valuation allowances</w:t>
            </w:r>
          </w:p>
        </w:tc>
        <w:tc>
          <w:tcPr>
            <w:tcW w:w="120" w:type="dxa"/>
            <w:vAlign w:val="bottom"/>
          </w:tcPr>
          <w:p>
            <w:pPr>
              <w:spacing w:after="0"/>
              <w:rPr>
                <w:sz w:val="19"/>
                <w:szCs w:val="19"/>
                <w:color w:val="auto"/>
              </w:rPr>
            </w:pPr>
          </w:p>
        </w:tc>
        <w:tc>
          <w:tcPr>
            <w:tcW w:w="1680" w:type="dxa"/>
            <w:vAlign w:val="bottom"/>
          </w:tcPr>
          <w:p>
            <w:pPr>
              <w:jc w:val="right"/>
              <w:ind w:right="239"/>
              <w:spacing w:after="0"/>
              <w:rPr>
                <w:sz w:val="20"/>
                <w:szCs w:val="20"/>
                <w:color w:val="auto"/>
              </w:rPr>
            </w:pPr>
            <w:r>
              <w:rPr>
                <w:rFonts w:ascii="Arial" w:cs="Arial" w:eastAsia="Arial" w:hAnsi="Arial"/>
                <w:sz w:val="16"/>
                <w:szCs w:val="16"/>
                <w:color w:val="auto"/>
              </w:rPr>
              <w:t>9</w:t>
            </w:r>
          </w:p>
        </w:tc>
        <w:tc>
          <w:tcPr>
            <w:tcW w:w="142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0"/>
        </w:trPr>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43"/>
        </w:trPr>
        <w:tc>
          <w:tcPr>
            <w:tcW w:w="80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Nontaxable or nondeductible items</w:t>
            </w:r>
            <w:r>
              <w:rPr>
                <w:rFonts w:ascii="Arial" w:cs="Arial" w:eastAsia="Arial" w:hAnsi="Arial"/>
                <w:sz w:val="21"/>
                <w:szCs w:val="21"/>
                <w:b w:val="1"/>
                <w:bCs w:val="1"/>
                <w:color w:val="auto"/>
                <w:vertAlign w:val="superscript"/>
              </w:rPr>
              <w:t>(2)</w:t>
            </w:r>
          </w:p>
        </w:tc>
        <w:tc>
          <w:tcPr>
            <w:tcW w:w="120" w:type="dxa"/>
            <w:vAlign w:val="bottom"/>
            <w:shd w:val="clear" w:color="auto" w:fill="E4E4E4"/>
          </w:tcPr>
          <w:p>
            <w:pPr>
              <w:spacing w:after="0"/>
              <w:rPr>
                <w:sz w:val="21"/>
                <w:szCs w:val="21"/>
                <w:color w:val="auto"/>
              </w:rPr>
            </w:pPr>
          </w:p>
        </w:tc>
        <w:tc>
          <w:tcPr>
            <w:tcW w:w="1680" w:type="dxa"/>
            <w:vAlign w:val="bottom"/>
            <w:shd w:val="clear" w:color="auto" w:fill="E4E4E4"/>
          </w:tcPr>
          <w:p>
            <w:pPr>
              <w:jc w:val="right"/>
              <w:ind w:right="239"/>
              <w:spacing w:after="0"/>
              <w:rPr>
                <w:sz w:val="20"/>
                <w:szCs w:val="20"/>
                <w:color w:val="auto"/>
              </w:rPr>
            </w:pPr>
            <w:r>
              <w:rPr>
                <w:rFonts w:ascii="Arial" w:cs="Arial" w:eastAsia="Arial" w:hAnsi="Arial"/>
                <w:sz w:val="16"/>
                <w:szCs w:val="16"/>
                <w:color w:val="auto"/>
              </w:rPr>
              <w:t>22</w:t>
            </w:r>
          </w:p>
        </w:tc>
        <w:tc>
          <w:tcPr>
            <w:tcW w:w="14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0.8 %</w:t>
            </w: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b w:val="1"/>
                <w:bCs w:val="1"/>
                <w:color w:val="auto"/>
              </w:rPr>
              <w:t>Changes in unrecognized tax benefits</w:t>
            </w:r>
          </w:p>
        </w:tc>
        <w:tc>
          <w:tcPr>
            <w:tcW w:w="120" w:type="dxa"/>
            <w:vAlign w:val="bottom"/>
          </w:tcPr>
          <w:p>
            <w:pPr>
              <w:spacing w:after="0"/>
              <w:rPr>
                <w:sz w:val="19"/>
                <w:szCs w:val="19"/>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color w:val="auto"/>
              </w:rPr>
              <w:t>(24)</w:t>
            </w:r>
          </w:p>
        </w:tc>
        <w:tc>
          <w:tcPr>
            <w:tcW w:w="1420" w:type="dxa"/>
            <w:vAlign w:val="bottom"/>
          </w:tcPr>
          <w:p>
            <w:pPr>
              <w:jc w:val="right"/>
              <w:spacing w:after="0"/>
              <w:rPr>
                <w:sz w:val="20"/>
                <w:szCs w:val="20"/>
                <w:color w:val="auto"/>
              </w:rPr>
            </w:pPr>
            <w:r>
              <w:rPr>
                <w:rFonts w:ascii="Arial" w:cs="Arial" w:eastAsia="Arial" w:hAnsi="Arial"/>
                <w:sz w:val="16"/>
                <w:szCs w:val="16"/>
                <w:color w:val="auto"/>
              </w:rPr>
              <w:t>(0.9)%</w:t>
            </w:r>
          </w:p>
        </w:tc>
      </w:tr>
      <w:tr>
        <w:trPr>
          <w:trHeight w:val="20"/>
        </w:trPr>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48"/>
        </w:trPr>
        <w:tc>
          <w:tcPr>
            <w:tcW w:w="80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 adjustments</w:t>
            </w:r>
          </w:p>
        </w:tc>
        <w:tc>
          <w:tcPr>
            <w:tcW w:w="120" w:type="dxa"/>
            <w:vAlign w:val="bottom"/>
            <w:tcBorders>
              <w:bottom w:val="single" w:sz="8" w:color="E4E4E4"/>
            </w:tcBorders>
            <w:shd w:val="clear" w:color="auto" w:fill="E4E4E4"/>
          </w:tcPr>
          <w:p>
            <w:pPr>
              <w:spacing w:after="0"/>
              <w:rPr>
                <w:sz w:val="21"/>
                <w:szCs w:val="21"/>
                <w:color w:val="auto"/>
              </w:rPr>
            </w:pPr>
          </w:p>
        </w:tc>
        <w:tc>
          <w:tcPr>
            <w:tcW w:w="1680" w:type="dxa"/>
            <w:vAlign w:val="bottom"/>
            <w:tcBorders>
              <w:bottom w:val="single" w:sz="8" w:color="E4E4E4"/>
            </w:tcBorders>
            <w:shd w:val="clear" w:color="auto" w:fill="E4E4E4"/>
          </w:tcPr>
          <w:p>
            <w:pPr>
              <w:jc w:val="right"/>
              <w:ind w:right="239"/>
              <w:spacing w:after="0"/>
              <w:rPr>
                <w:sz w:val="20"/>
                <w:szCs w:val="20"/>
                <w:color w:val="auto"/>
              </w:rPr>
            </w:pPr>
            <w:r>
              <w:rPr>
                <w:rFonts w:ascii="Arial" w:cs="Arial" w:eastAsia="Arial" w:hAnsi="Arial"/>
                <w:sz w:val="16"/>
                <w:szCs w:val="16"/>
                <w:color w:val="auto"/>
              </w:rPr>
              <w:t>8</w:t>
            </w:r>
          </w:p>
        </w:tc>
        <w:tc>
          <w:tcPr>
            <w:tcW w:w="1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0.3 %</w:t>
            </w:r>
          </w:p>
        </w:tc>
      </w:tr>
      <w:tr>
        <w:trPr>
          <w:trHeight w:val="220"/>
        </w:trPr>
        <w:tc>
          <w:tcPr>
            <w:tcW w:w="8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Effective tax rate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614</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22.2 %</w:t>
            </w:r>
          </w:p>
        </w:tc>
      </w:tr>
    </w:tbl>
    <w:p>
      <w:pPr>
        <w:spacing w:after="0" w:line="80" w:lineRule="exact"/>
        <w:rPr>
          <w:sz w:val="20"/>
          <w:szCs w:val="20"/>
          <w:color w:val="auto"/>
        </w:rPr>
      </w:pPr>
    </w:p>
    <w:p>
      <w:pPr>
        <w:ind w:left="260" w:right="100" w:hanging="252"/>
        <w:spacing w:after="0" w:line="265" w:lineRule="auto"/>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2025, state and local income taxes in California, Illinois, New York, Florida, New Jersey, New York City, and Pennsylvania comprise more than 50% of state and local income taxes, net of federal income tax effect.</w:t>
      </w:r>
    </w:p>
    <w:p>
      <w:pPr>
        <w:spacing w:after="0" w:line="1" w:lineRule="exact"/>
        <w:rPr>
          <w:rFonts w:ascii="Arial" w:cs="Arial" w:eastAsia="Arial" w:hAnsi="Arial"/>
          <w:sz w:val="16"/>
          <w:szCs w:val="16"/>
          <w:color w:val="auto"/>
        </w:rPr>
      </w:pPr>
    </w:p>
    <w:p>
      <w:pPr>
        <w:ind w:left="260" w:hanging="246"/>
        <w:spacing w:after="0"/>
        <w:tabs>
          <w:tab w:leader="none" w:pos="2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tax impact of any share-based compensation items are included in this category.</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For the years ended December 31, 2024 and 2023, the effective income tax rate differs from the statutory federal income tax rate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Reconciliation of U.S. Federal Statutory Income Tax Rate to Actual Income Tax Rate</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43"/>
        </w:trPr>
        <w:tc>
          <w:tcPr>
            <w:tcW w:w="8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20" w:type="dxa"/>
            <w:vAlign w:val="bottom"/>
            <w:gridSpan w:val="3"/>
          </w:tcPr>
          <w:p>
            <w:pPr>
              <w:jc w:val="right"/>
              <w:ind w:right="99"/>
              <w:spacing w:after="0"/>
              <w:rPr>
                <w:sz w:val="20"/>
                <w:szCs w:val="20"/>
                <w:color w:val="auto"/>
              </w:rPr>
            </w:pPr>
            <w:r>
              <w:rPr>
                <w:rFonts w:ascii="Arial" w:cs="Arial" w:eastAsia="Arial" w:hAnsi="Arial"/>
                <w:sz w:val="16"/>
                <w:szCs w:val="16"/>
                <w:b w:val="1"/>
                <w:bCs w:val="1"/>
                <w:color w:val="454545"/>
              </w:rPr>
              <w:t>For the years ended December 31</w:t>
            </w:r>
          </w:p>
        </w:tc>
      </w:tr>
      <w:tr>
        <w:trPr>
          <w:trHeight w:val="21"/>
        </w:trPr>
        <w:tc>
          <w:tcPr>
            <w:tcW w:w="826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tcPr>
          <w:p>
            <w:pPr>
              <w:spacing w:after="0" w:line="20" w:lineRule="exact"/>
              <w:rPr>
                <w:sz w:val="1"/>
                <w:szCs w:val="1"/>
                <w:color w:val="auto"/>
              </w:rPr>
            </w:pPr>
          </w:p>
        </w:tc>
      </w:tr>
      <w:tr>
        <w:trPr>
          <w:trHeight w:val="229"/>
        </w:trPr>
        <w:tc>
          <w:tcPr>
            <w:tcW w:w="8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2024</w:t>
            </w:r>
          </w:p>
        </w:tc>
        <w:tc>
          <w:tcPr>
            <w:tcW w:w="34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2023</w:t>
            </w:r>
          </w:p>
        </w:tc>
      </w:tr>
      <w:tr>
        <w:trPr>
          <w:trHeight w:val="21"/>
        </w:trPr>
        <w:tc>
          <w:tcPr>
            <w:tcW w:w="8260" w:type="dxa"/>
            <w:vAlign w:val="bottom"/>
            <w:tcBorders>
              <w:bottom w:val="single" w:sz="8" w:color="6400A0"/>
            </w:tcBorders>
          </w:tcPr>
          <w:p>
            <w:pPr>
              <w:spacing w:after="0" w:line="20" w:lineRule="exact"/>
              <w:rPr>
                <w:sz w:val="1"/>
                <w:szCs w:val="1"/>
                <w:color w:val="auto"/>
              </w:rPr>
            </w:pPr>
          </w:p>
        </w:tc>
        <w:tc>
          <w:tcPr>
            <w:tcW w:w="160" w:type="dxa"/>
            <w:vAlign w:val="bottom"/>
            <w:tcBorders>
              <w:bottom w:val="single" w:sz="8" w:color="6400A0"/>
            </w:tcBorders>
          </w:tcPr>
          <w:p>
            <w:pPr>
              <w:spacing w:after="0" w:line="20" w:lineRule="exact"/>
              <w:rPr>
                <w:sz w:val="1"/>
                <w:szCs w:val="1"/>
                <w:color w:val="auto"/>
              </w:rPr>
            </w:pPr>
          </w:p>
        </w:tc>
        <w:tc>
          <w:tcPr>
            <w:tcW w:w="134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r>
      <w:tr>
        <w:trPr>
          <w:trHeight w:val="242"/>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Income from continuing operations before income taxes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2,581</w:t>
            </w:r>
          </w:p>
        </w:tc>
        <w:tc>
          <w:tcPr>
            <w:tcW w:w="340" w:type="dxa"/>
            <w:vAlign w:val="bottom"/>
            <w:tcBorders>
              <w:bottom w:val="single" w:sz="8" w:color="E4E4E4"/>
            </w:tcBorders>
            <w:shd w:val="clear" w:color="auto" w:fill="E4E4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2,361</w:t>
            </w:r>
          </w:p>
        </w:tc>
      </w:tr>
      <w:tr>
        <w:trPr>
          <w:trHeight w:val="208"/>
        </w:trPr>
        <w:tc>
          <w:tcPr>
            <w:tcW w:w="82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Tax expected at 21%</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496</w:t>
            </w:r>
          </w:p>
        </w:tc>
      </w:tr>
      <w:tr>
        <w:trPr>
          <w:trHeight w:val="28"/>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operations</w:t>
            </w:r>
          </w:p>
        </w:tc>
        <w:tc>
          <w:tcPr>
            <w:tcW w:w="160" w:type="dxa"/>
            <w:vAlign w:val="bottom"/>
            <w:tcBorders>
              <w:bottom w:val="single" w:sz="8" w:color="E4E4E4"/>
            </w:tcBorders>
            <w:shd w:val="clear" w:color="auto" w:fill="E4E4E4"/>
          </w:tcPr>
          <w:p>
            <w:pPr>
              <w:spacing w:after="0"/>
              <w:rPr>
                <w:sz w:val="19"/>
                <w:szCs w:val="19"/>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c>
          <w:tcPr>
            <w:tcW w:w="34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63</w:t>
            </w: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color w:val="auto"/>
              </w:rPr>
              <w:t>Withholding taxes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8"/>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U.S. tax on foreign operations</w:t>
            </w:r>
          </w:p>
        </w:tc>
        <w:tc>
          <w:tcPr>
            <w:tcW w:w="160" w:type="dxa"/>
            <w:vAlign w:val="bottom"/>
            <w:tcBorders>
              <w:bottom w:val="single" w:sz="8" w:color="E4E4E4"/>
            </w:tcBorders>
            <w:shd w:val="clear" w:color="auto" w:fill="E4E4E4"/>
          </w:tcPr>
          <w:p>
            <w:pPr>
              <w:spacing w:after="0"/>
              <w:rPr>
                <w:sz w:val="19"/>
                <w:szCs w:val="19"/>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c>
          <w:tcPr>
            <w:tcW w:w="34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w:t>
            </w: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color w:val="auto"/>
              </w:rPr>
              <w:t>Uncertain tax positions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170</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R&amp;D benefits</w:t>
            </w:r>
          </w:p>
        </w:tc>
        <w:tc>
          <w:tcPr>
            <w:tcW w:w="160" w:type="dxa"/>
            <w:vAlign w:val="bottom"/>
            <w:tcBorders>
              <w:bottom w:val="single" w:sz="8" w:color="E4E4E4"/>
            </w:tcBorders>
            <w:shd w:val="clear" w:color="auto" w:fill="E4E4E4"/>
          </w:tcPr>
          <w:p>
            <w:pPr>
              <w:spacing w:after="0"/>
              <w:rPr>
                <w:sz w:val="19"/>
                <w:szCs w:val="19"/>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34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color w:val="auto"/>
              </w:rPr>
              <w:t>State and local income taxes, net of federal income tax effect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49</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8"/>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Valuation allowance</w:t>
            </w:r>
          </w:p>
        </w:tc>
        <w:tc>
          <w:tcPr>
            <w:tcW w:w="160" w:type="dxa"/>
            <w:vAlign w:val="bottom"/>
            <w:tcBorders>
              <w:bottom w:val="single" w:sz="8" w:color="E4E4E4"/>
            </w:tcBorders>
            <w:shd w:val="clear" w:color="auto" w:fill="E4E4E4"/>
          </w:tcPr>
          <w:p>
            <w:pPr>
              <w:spacing w:after="0"/>
              <w:rPr>
                <w:sz w:val="19"/>
                <w:szCs w:val="19"/>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(281)</w:t>
            </w:r>
          </w:p>
        </w:tc>
        <w:tc>
          <w:tcPr>
            <w:tcW w:w="34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8260" w:type="dxa"/>
            <w:vAlign w:val="bottom"/>
          </w:tcPr>
          <w:p>
            <w:pPr>
              <w:ind w:left="20"/>
              <w:spacing w:after="0"/>
              <w:rPr>
                <w:sz w:val="20"/>
                <w:szCs w:val="20"/>
                <w:color w:val="auto"/>
              </w:rPr>
            </w:pPr>
            <w:r>
              <w:rPr>
                <w:rFonts w:ascii="Arial" w:cs="Arial" w:eastAsia="Arial" w:hAnsi="Arial"/>
                <w:sz w:val="16"/>
                <w:szCs w:val="16"/>
                <w:color w:val="auto"/>
              </w:rPr>
              <w:t>Spin-Off and separation costs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184</w:t>
            </w:r>
          </w:p>
        </w:tc>
      </w:tr>
      <w:tr>
        <w:trPr>
          <w:trHeight w:val="28"/>
        </w:trPr>
        <w:tc>
          <w:tcPr>
            <w:tcW w:w="8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8"/>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E4E4E4"/>
            </w:tcBorders>
            <w:shd w:val="clear" w:color="auto" w:fill="E4E4E4"/>
          </w:tcPr>
          <w:p>
            <w:pPr>
              <w:spacing w:after="0"/>
              <w:rPr>
                <w:sz w:val="21"/>
                <w:szCs w:val="21"/>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E4E4E4"/>
            </w:tcBorders>
            <w:shd w:val="clear" w:color="auto" w:fill="E4E4E4"/>
          </w:tcPr>
          <w:p>
            <w:pPr>
              <w:spacing w:after="0"/>
              <w:rPr>
                <w:sz w:val="21"/>
                <w:szCs w:val="21"/>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w:t>
            </w:r>
          </w:p>
        </w:tc>
      </w:tr>
      <w:tr>
        <w:trPr>
          <w:trHeight w:val="216"/>
        </w:trPr>
        <w:tc>
          <w:tcPr>
            <w:tcW w:w="82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531</w:t>
            </w: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743</w:t>
            </w:r>
          </w:p>
        </w:tc>
      </w:tr>
      <w:tr>
        <w:trPr>
          <w:trHeight w:val="20"/>
        </w:trPr>
        <w:tc>
          <w:tcPr>
            <w:tcW w:w="8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16"/>
        </w:trPr>
        <w:tc>
          <w:tcPr>
            <w:tcW w:w="82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Effective income tax rate</w:t>
            </w:r>
          </w:p>
        </w:tc>
        <w:tc>
          <w:tcPr>
            <w:tcW w:w="160" w:type="dxa"/>
            <w:vAlign w:val="bottom"/>
            <w:tcBorders>
              <w:bottom w:val="single" w:sz="8" w:color="E4E4E4"/>
            </w:tcBorders>
            <w:shd w:val="clear" w:color="auto" w:fill="E4E4E4"/>
          </w:tcPr>
          <w:p>
            <w:pPr>
              <w:spacing w:after="0"/>
              <w:rPr>
                <w:sz w:val="18"/>
                <w:szCs w:val="18"/>
                <w:color w:val="auto"/>
              </w:rPr>
            </w:pPr>
          </w:p>
        </w:tc>
        <w:tc>
          <w:tcPr>
            <w:tcW w:w="13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20.6%</w:t>
            </w:r>
          </w:p>
        </w:tc>
        <w:tc>
          <w:tcPr>
            <w:tcW w:w="340" w:type="dxa"/>
            <w:vAlign w:val="bottom"/>
            <w:tcBorders>
              <w:bottom w:val="single" w:sz="8" w:color="E4E4E4"/>
            </w:tcBorders>
            <w:shd w:val="clear" w:color="auto" w:fill="E4E4E4"/>
          </w:tcPr>
          <w:p>
            <w:pPr>
              <w:spacing w:after="0"/>
              <w:rPr>
                <w:sz w:val="18"/>
                <w:szCs w:val="18"/>
                <w:color w:val="auto"/>
              </w:rPr>
            </w:pPr>
          </w:p>
        </w:tc>
        <w:tc>
          <w:tcPr>
            <w:tcW w:w="11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31.5%</w:t>
            </w:r>
          </w:p>
        </w:tc>
      </w:tr>
      <w:tr>
        <w:trPr>
          <w:trHeight w:val="20"/>
        </w:trPr>
        <w:tc>
          <w:tcPr>
            <w:tcW w:w="8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For the years ended December 31, 2025 and 2024, included in State and local income taxes, net of federal income tax effect is $10 million and $35 million of expense related to revaluation of deferred tax assets as a result of changes in future apportionment and state tax rates based on the 2024 and 2023 as-filed tax returns. For the year ended December 31, 2023, the Spin-Off and separation costs line includes $59 million of expense related to revaluation of state deferred tax assets associated with the Spin-Off.</w:t>
      </w:r>
    </w:p>
    <w:p>
      <w:pPr>
        <w:sectPr>
          <w:pgSz w:w="11900" w:h="16838" w:orient="portrait"/>
          <w:cols w:equalWidth="0" w:num="1">
            <w:col w:w="11240"/>
          </w:cols>
          <w:pgMar w:left="320" w:top="130" w:right="339" w:bottom="11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132" w:gutter="0" w:footer="0" w:header="0"/>
          <w:type w:val="continuous"/>
        </w:sectPr>
      </w:pPr>
    </w:p>
    <w:bookmarkStart w:id="87" w:name="page88"/>
    <w:bookmarkEnd w:id="8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2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Company is subject to periodic tax audits by tax authorities in the U.S. (both federal and state) and the numerous countries in which we operate. While the Company currently is being audited, or remains subject to audit, in a number of jurisdictions for tax years 2004-2024, including China, France, Germany, India, Japan, Norway, the U.K., and the United States, we believe that there are no jurisdictions in which the ultimate outcome of unresolved issues or claims is likely to be material to the results of operations, financial position, or cash flows. We believe that we have made adequate provisions for all unrecognized tax benefits.</w:t>
      </w:r>
    </w:p>
    <w:p>
      <w:pPr>
        <w:spacing w:after="0" w:line="199"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The balance of unrecognized tax benefits, the amount of related interest and penalties, and the portion that, if recognized, would reduce tax expense and effective tax rate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4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Arial" w:cs="Arial" w:eastAsia="Arial" w:hAnsi="Arial"/>
                <w:sz w:val="16"/>
                <w:szCs w:val="16"/>
                <w:b w:val="1"/>
                <w:bCs w:val="1"/>
                <w:color w:val="454545"/>
              </w:rPr>
              <w:t>2025</w:t>
            </w:r>
          </w:p>
        </w:tc>
        <w:tc>
          <w:tcPr>
            <w:tcW w:w="48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2024</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454545"/>
              </w:rPr>
              <w:t>2023</w:t>
            </w:r>
          </w:p>
        </w:tc>
      </w:tr>
      <w:tr>
        <w:trPr>
          <w:trHeight w:val="21"/>
        </w:trPr>
        <w:tc>
          <w:tcPr>
            <w:tcW w:w="5040" w:type="dxa"/>
            <w:vAlign w:val="bottom"/>
            <w:tcBorders>
              <w:bottom w:val="single" w:sz="8" w:color="6400A0"/>
            </w:tcBorders>
          </w:tcPr>
          <w:p>
            <w:pPr>
              <w:spacing w:after="0" w:line="20" w:lineRule="exact"/>
              <w:rPr>
                <w:sz w:val="1"/>
                <w:szCs w:val="1"/>
                <w:color w:val="auto"/>
              </w:rPr>
            </w:pPr>
          </w:p>
        </w:tc>
        <w:tc>
          <w:tcPr>
            <w:tcW w:w="2780" w:type="dxa"/>
            <w:vAlign w:val="bottom"/>
            <w:tcBorders>
              <w:bottom w:val="single" w:sz="8" w:color="6400A0"/>
            </w:tcBorders>
          </w:tcPr>
          <w:p>
            <w:pPr>
              <w:spacing w:after="0" w:line="20" w:lineRule="exact"/>
              <w:rPr>
                <w:sz w:val="1"/>
                <w:szCs w:val="1"/>
                <w:color w:val="auto"/>
              </w:rPr>
            </w:pPr>
          </w:p>
        </w:tc>
        <w:tc>
          <w:tcPr>
            <w:tcW w:w="48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440" w:type="dxa"/>
            <w:vAlign w:val="bottom"/>
            <w:tcBorders>
              <w:bottom w:val="single" w:sz="8" w:color="6400A0"/>
            </w:tcBorders>
          </w:tcPr>
          <w:p>
            <w:pPr>
              <w:spacing w:after="0" w:line="20" w:lineRule="exact"/>
              <w:rPr>
                <w:sz w:val="1"/>
                <w:szCs w:val="1"/>
                <w:color w:val="auto"/>
              </w:rPr>
            </w:pPr>
          </w:p>
        </w:tc>
        <w:tc>
          <w:tcPr>
            <w:tcW w:w="340" w:type="dxa"/>
            <w:vAlign w:val="bottom"/>
            <w:tcBorders>
              <w:bottom w:val="single" w:sz="8" w:color="6400A0"/>
            </w:tcBorders>
          </w:tcPr>
          <w:p>
            <w:pPr>
              <w:spacing w:after="0" w:line="20" w:lineRule="exact"/>
              <w:rPr>
                <w:sz w:val="1"/>
                <w:szCs w:val="1"/>
                <w:color w:val="auto"/>
              </w:rPr>
            </w:pPr>
          </w:p>
        </w:tc>
        <w:tc>
          <w:tcPr>
            <w:tcW w:w="1140" w:type="dxa"/>
            <w:vAlign w:val="bottom"/>
            <w:tcBorders>
              <w:bottom w:val="single" w:sz="8" w:color="6400A0"/>
            </w:tcBorders>
          </w:tcPr>
          <w:p>
            <w:pPr>
              <w:spacing w:after="0" w:line="20" w:lineRule="exact"/>
              <w:rPr>
                <w:sz w:val="1"/>
                <w:szCs w:val="1"/>
                <w:color w:val="auto"/>
              </w:rPr>
            </w:pPr>
          </w:p>
        </w:tc>
      </w:tr>
      <w:tr>
        <w:trPr>
          <w:trHeight w:val="217"/>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27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551</w:t>
            </w:r>
          </w:p>
        </w:tc>
        <w:tc>
          <w:tcPr>
            <w:tcW w:w="102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409</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465</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Additions for tax positions of the current year</w:t>
            </w:r>
          </w:p>
        </w:tc>
        <w:tc>
          <w:tcPr>
            <w:tcW w:w="2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8"/>
        </w:trPr>
        <w:tc>
          <w:tcPr>
            <w:tcW w:w="5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2780" w:type="dxa"/>
            <w:vAlign w:val="bottom"/>
            <w:tcBorders>
              <w:bottom w:val="single" w:sz="8" w:color="E4E4E4"/>
            </w:tcBorders>
            <w:shd w:val="clear" w:color="auto" w:fill="E4E4E4"/>
          </w:tcPr>
          <w:p>
            <w:pPr>
              <w:spacing w:after="0"/>
              <w:rPr>
                <w:sz w:val="19"/>
                <w:szCs w:val="19"/>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c>
          <w:tcPr>
            <w:tcW w:w="1020" w:type="dxa"/>
            <w:vAlign w:val="bottom"/>
            <w:tcBorders>
              <w:bottom w:val="single" w:sz="8" w:color="E4E4E4"/>
            </w:tcBorders>
            <w:shd w:val="clear" w:color="auto" w:fill="E4E4E4"/>
          </w:tcPr>
          <w:p>
            <w:pPr>
              <w:spacing w:after="0"/>
              <w:rPr>
                <w:sz w:val="19"/>
                <w:szCs w:val="19"/>
                <w:color w:val="auto"/>
              </w:rPr>
            </w:pP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181</w:t>
            </w:r>
          </w:p>
        </w:tc>
        <w:tc>
          <w:tcPr>
            <w:tcW w:w="34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156</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2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(108)</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(33)</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8"/>
        </w:trPr>
        <w:tc>
          <w:tcPr>
            <w:tcW w:w="504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Settlements with tax authorities</w:t>
            </w:r>
          </w:p>
        </w:tc>
        <w:tc>
          <w:tcPr>
            <w:tcW w:w="2780" w:type="dxa"/>
            <w:vAlign w:val="bottom"/>
            <w:tcBorders>
              <w:bottom w:val="single" w:sz="8" w:color="E4E4E4"/>
            </w:tcBorders>
            <w:shd w:val="clear" w:color="auto" w:fill="E4E4E4"/>
          </w:tcPr>
          <w:p>
            <w:pPr>
              <w:spacing w:after="0"/>
              <w:rPr>
                <w:sz w:val="19"/>
                <w:szCs w:val="19"/>
                <w:color w:val="auto"/>
              </w:rPr>
            </w:pP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1020" w:type="dxa"/>
            <w:vAlign w:val="bottom"/>
            <w:tcBorders>
              <w:bottom w:val="single" w:sz="8" w:color="E4E4E4"/>
            </w:tcBorders>
            <w:shd w:val="clear" w:color="auto" w:fill="E4E4E4"/>
          </w:tcPr>
          <w:p>
            <w:pPr>
              <w:spacing w:after="0"/>
              <w:rPr>
                <w:sz w:val="19"/>
                <w:szCs w:val="19"/>
                <w:color w:val="auto"/>
              </w:rPr>
            </w:pP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E4E4E4"/>
            </w:tcBorders>
            <w:shd w:val="clear" w:color="auto" w:fill="E4E4E4"/>
          </w:tcPr>
          <w:p>
            <w:pPr>
              <w:spacing w:after="0"/>
              <w:rPr>
                <w:sz w:val="19"/>
                <w:szCs w:val="19"/>
                <w:color w:val="auto"/>
              </w:rPr>
            </w:pP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15"/>
        </w:trPr>
        <w:tc>
          <w:tcPr>
            <w:tcW w:w="5040" w:type="dxa"/>
            <w:vAlign w:val="bottom"/>
          </w:tcPr>
          <w:p>
            <w:pPr>
              <w:ind w:left="20"/>
              <w:spacing w:after="0"/>
              <w:rPr>
                <w:sz w:val="20"/>
                <w:szCs w:val="20"/>
                <w:color w:val="auto"/>
              </w:rPr>
            </w:pPr>
            <w:r>
              <w:rPr>
                <w:rFonts w:ascii="Arial" w:cs="Arial" w:eastAsia="Arial" w:hAnsi="Arial"/>
                <w:sz w:val="16"/>
                <w:szCs w:val="16"/>
                <w:color w:val="auto"/>
              </w:rPr>
              <w:t>Expiration of the statute of limitations</w:t>
            </w:r>
          </w:p>
        </w:tc>
        <w:tc>
          <w:tcPr>
            <w:tcW w:w="2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8"/>
        </w:trPr>
        <w:tc>
          <w:tcPr>
            <w:tcW w:w="50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50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27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463</w:t>
            </w:r>
          </w:p>
        </w:tc>
        <w:tc>
          <w:tcPr>
            <w:tcW w:w="102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551</w:t>
            </w:r>
          </w:p>
        </w:tc>
        <w:tc>
          <w:tcPr>
            <w:tcW w:w="3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409</w:t>
            </w:r>
          </w:p>
        </w:tc>
      </w:tr>
      <w:tr>
        <w:trPr>
          <w:trHeight w:val="20"/>
        </w:trPr>
        <w:tc>
          <w:tcPr>
            <w:tcW w:w="5040" w:type="dxa"/>
            <w:vAlign w:val="bottom"/>
            <w:shd w:val="clear" w:color="auto" w:fill="000000"/>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350"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For the year ended December 31, 2025, the Additions for tax positions of prior years line includes $37 million of currency translation adjustments (“CTA”), and the Reductions for tax positions of prior years line includes $102 million related to a tax attribute that expired in 2025.</w:t>
      </w:r>
    </w:p>
    <w:p>
      <w:pPr>
        <w:spacing w:after="0" w:line="18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For the year ended December 31, 2024, the Additions for tax positions of prior years line includes $172 million of reserves established due to ongoing audits, of which $142 million was established against a net operating loss deferred tax asset. Also for the year ended December 31, 2024, the Reductions for tax positions of prior years includes CTA of $14 million and a reversal of $19 million related to various tax audits that were closed during the year.</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For the year ended December 31, 2023, the Additions for tax positions of prior years line in the table above includes $134 million related to the Spin-Off. Also during the year ended December 31, 2023, a matter was closed with local tax authorities which resulted in the reversal of a net operating loss deferred tax asset and the related $183 million unrecognized tax benefit, which is included in the Reductions for tax positions of prior years line above.</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Unrecognized Tax Benefits</w:t>
            </w:r>
          </w:p>
        </w:tc>
        <w:tc>
          <w:tcPr>
            <w:tcW w:w="3980" w:type="dxa"/>
            <w:vAlign w:val="bottom"/>
            <w:gridSpan w:val="5"/>
          </w:tcPr>
          <w:p>
            <w:pPr>
              <w:jc w:val="center"/>
              <w:ind w:left="359"/>
              <w:spacing w:after="0"/>
              <w:rPr>
                <w:sz w:val="20"/>
                <w:szCs w:val="20"/>
                <w:color w:val="auto"/>
              </w:rPr>
            </w:pPr>
            <w:r>
              <w:rPr>
                <w:rFonts w:ascii="Arial" w:cs="Arial" w:eastAsia="Arial" w:hAnsi="Arial"/>
                <w:sz w:val="16"/>
                <w:szCs w:val="16"/>
                <w:b w:val="1"/>
                <w:bCs w:val="1"/>
                <w:color w:val="454545"/>
              </w:rPr>
              <w:t>For the years ended December 31</w:t>
            </w:r>
          </w:p>
        </w:tc>
        <w:tc>
          <w:tcPr>
            <w:tcW w:w="440" w:type="dxa"/>
            <w:vAlign w:val="bottom"/>
          </w:tcPr>
          <w:p>
            <w:pPr>
              <w:spacing w:after="0"/>
              <w:rPr>
                <w:sz w:val="19"/>
                <w:szCs w:val="19"/>
                <w:color w:val="auto"/>
              </w:rPr>
            </w:pPr>
          </w:p>
        </w:tc>
      </w:tr>
      <w:tr>
        <w:trPr>
          <w:trHeight w:val="21"/>
        </w:trPr>
        <w:tc>
          <w:tcPr>
            <w:tcW w:w="6820" w:type="dxa"/>
            <w:vAlign w:val="bottom"/>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r>
      <w:tr>
        <w:trPr>
          <w:trHeight w:val="229"/>
        </w:trPr>
        <w:tc>
          <w:tcPr>
            <w:tcW w:w="68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2025</w:t>
            </w:r>
          </w:p>
        </w:tc>
        <w:tc>
          <w:tcPr>
            <w:tcW w:w="44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454545"/>
              </w:rPr>
              <w:t>2024</w:t>
            </w:r>
          </w:p>
        </w:tc>
        <w:tc>
          <w:tcPr>
            <w:tcW w:w="42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b w:val="1"/>
                <w:bCs w:val="1"/>
                <w:color w:val="454545"/>
              </w:rPr>
              <w:t>2023</w:t>
            </w:r>
          </w:p>
        </w:tc>
        <w:tc>
          <w:tcPr>
            <w:tcW w:w="440" w:type="dxa"/>
            <w:vAlign w:val="bottom"/>
          </w:tcPr>
          <w:p>
            <w:pPr>
              <w:spacing w:after="0"/>
              <w:rPr>
                <w:sz w:val="19"/>
                <w:szCs w:val="19"/>
                <w:color w:val="auto"/>
              </w:rPr>
            </w:pPr>
          </w:p>
        </w:tc>
      </w:tr>
      <w:tr>
        <w:trPr>
          <w:trHeight w:val="21"/>
        </w:trPr>
        <w:tc>
          <w:tcPr>
            <w:tcW w:w="6820" w:type="dxa"/>
            <w:vAlign w:val="bottom"/>
            <w:tcBorders>
              <w:bottom w:val="single" w:sz="8" w:color="6400A0"/>
            </w:tcBorders>
          </w:tcPr>
          <w:p>
            <w:pPr>
              <w:spacing w:after="0" w:line="20" w:lineRule="exact"/>
              <w:rPr>
                <w:sz w:val="1"/>
                <w:szCs w:val="1"/>
                <w:color w:val="auto"/>
              </w:rPr>
            </w:pPr>
          </w:p>
        </w:tc>
        <w:tc>
          <w:tcPr>
            <w:tcW w:w="1020" w:type="dxa"/>
            <w:vAlign w:val="bottom"/>
            <w:tcBorders>
              <w:bottom w:val="single" w:sz="8" w:color="6400A0"/>
            </w:tcBorders>
          </w:tcPr>
          <w:p>
            <w:pPr>
              <w:spacing w:after="0" w:line="20" w:lineRule="exact"/>
              <w:rPr>
                <w:sz w:val="1"/>
                <w:szCs w:val="1"/>
                <w:color w:val="auto"/>
              </w:rPr>
            </w:pPr>
          </w:p>
        </w:tc>
        <w:tc>
          <w:tcPr>
            <w:tcW w:w="440" w:type="dxa"/>
            <w:vAlign w:val="bottom"/>
            <w:tcBorders>
              <w:bottom w:val="single" w:sz="8" w:color="6400A0"/>
            </w:tcBorders>
          </w:tcPr>
          <w:p>
            <w:pPr>
              <w:spacing w:after="0" w:line="20" w:lineRule="exact"/>
              <w:rPr>
                <w:sz w:val="1"/>
                <w:szCs w:val="1"/>
                <w:color w:val="auto"/>
              </w:rPr>
            </w:pPr>
          </w:p>
        </w:tc>
        <w:tc>
          <w:tcPr>
            <w:tcW w:w="1040" w:type="dxa"/>
            <w:vAlign w:val="bottom"/>
            <w:tcBorders>
              <w:bottom w:val="single" w:sz="8" w:color="6400A0"/>
            </w:tcBorders>
          </w:tcPr>
          <w:p>
            <w:pPr>
              <w:spacing w:after="0" w:line="20" w:lineRule="exact"/>
              <w:rPr>
                <w:sz w:val="1"/>
                <w:szCs w:val="1"/>
                <w:color w:val="auto"/>
              </w:rPr>
            </w:pPr>
          </w:p>
        </w:tc>
        <w:tc>
          <w:tcPr>
            <w:tcW w:w="420" w:type="dxa"/>
            <w:vAlign w:val="bottom"/>
            <w:tcBorders>
              <w:bottom w:val="single" w:sz="8" w:color="6400A0"/>
            </w:tcBorders>
          </w:tcPr>
          <w:p>
            <w:pPr>
              <w:spacing w:after="0" w:line="20" w:lineRule="exact"/>
              <w:rPr>
                <w:sz w:val="1"/>
                <w:szCs w:val="1"/>
                <w:color w:val="auto"/>
              </w:rPr>
            </w:pPr>
          </w:p>
        </w:tc>
        <w:tc>
          <w:tcPr>
            <w:tcW w:w="1060" w:type="dxa"/>
            <w:vAlign w:val="bottom"/>
            <w:tcBorders>
              <w:bottom w:val="single" w:sz="8" w:color="6400A0"/>
            </w:tcBorders>
          </w:tcPr>
          <w:p>
            <w:pPr>
              <w:spacing w:after="0" w:line="20" w:lineRule="exact"/>
              <w:rPr>
                <w:sz w:val="1"/>
                <w:szCs w:val="1"/>
                <w:color w:val="auto"/>
              </w:rPr>
            </w:pPr>
          </w:p>
        </w:tc>
        <w:tc>
          <w:tcPr>
            <w:tcW w:w="440" w:type="dxa"/>
            <w:vAlign w:val="bottom"/>
            <w:tcBorders>
              <w:bottom w:val="single" w:sz="8" w:color="6400A0"/>
            </w:tcBorders>
          </w:tcPr>
          <w:p>
            <w:pPr>
              <w:spacing w:after="0" w:line="20" w:lineRule="exact"/>
              <w:rPr>
                <w:sz w:val="1"/>
                <w:szCs w:val="1"/>
                <w:color w:val="auto"/>
              </w:rPr>
            </w:pPr>
          </w:p>
        </w:tc>
      </w:tr>
      <w:tr>
        <w:trPr>
          <w:trHeight w:val="216"/>
        </w:trPr>
        <w:tc>
          <w:tcPr>
            <w:tcW w:w="6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Unrecognized tax benefits</w:t>
            </w:r>
          </w:p>
        </w:tc>
        <w:tc>
          <w:tcPr>
            <w:tcW w:w="1020" w:type="dxa"/>
            <w:vAlign w:val="bottom"/>
            <w:tcBorders>
              <w:bottom w:val="single" w:sz="8" w:color="E4E4E4"/>
            </w:tcBorders>
            <w:shd w:val="clear" w:color="auto" w:fill="E4E4E4"/>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463</w:t>
            </w:r>
          </w:p>
        </w:tc>
        <w:tc>
          <w:tcPr>
            <w:tcW w:w="104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551</w:t>
            </w:r>
          </w:p>
        </w:tc>
        <w:tc>
          <w:tcPr>
            <w:tcW w:w="106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409</w:t>
            </w: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Accrued interest on unrecognized tax benefits</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65</w:t>
            </w:r>
          </w:p>
        </w:tc>
        <w:tc>
          <w:tcPr>
            <w:tcW w:w="10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81</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8"/>
        </w:trPr>
        <w:tc>
          <w:tcPr>
            <w:tcW w:w="6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23"/>
        </w:trPr>
        <w:tc>
          <w:tcPr>
            <w:tcW w:w="6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Portion that, if recognized, would reduce tax expense and effective tax rate</w:t>
            </w:r>
          </w:p>
        </w:tc>
        <w:tc>
          <w:tcPr>
            <w:tcW w:w="1020" w:type="dxa"/>
            <w:vAlign w:val="bottom"/>
            <w:tcBorders>
              <w:bottom w:val="single" w:sz="8" w:color="E4E4E4"/>
            </w:tcBorders>
            <w:shd w:val="clear" w:color="auto" w:fill="E4E4E4"/>
          </w:tcPr>
          <w:p>
            <w:pPr>
              <w:spacing w:after="0"/>
              <w:rPr>
                <w:sz w:val="19"/>
                <w:szCs w:val="19"/>
                <w:color w:val="auto"/>
              </w:rPr>
            </w:pP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158</w:t>
            </w:r>
          </w:p>
        </w:tc>
        <w:tc>
          <w:tcPr>
            <w:tcW w:w="1040" w:type="dxa"/>
            <w:vAlign w:val="bottom"/>
            <w:tcBorders>
              <w:bottom w:val="single" w:sz="8" w:color="E4E4E4"/>
            </w:tcBorders>
            <w:shd w:val="clear" w:color="auto" w:fill="E4E4E4"/>
          </w:tcPr>
          <w:p>
            <w:pPr>
              <w:spacing w:after="0"/>
              <w:rPr>
                <w:sz w:val="19"/>
                <w:szCs w:val="19"/>
                <w:color w:val="auto"/>
              </w:rPr>
            </w:pPr>
          </w:p>
        </w:tc>
        <w:tc>
          <w:tcPr>
            <w:tcW w:w="4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182</w:t>
            </w:r>
          </w:p>
        </w:tc>
        <w:tc>
          <w:tcPr>
            <w:tcW w:w="1060" w:type="dxa"/>
            <w:vAlign w:val="bottom"/>
            <w:tcBorders>
              <w:bottom w:val="single" w:sz="8" w:color="E4E4E4"/>
            </w:tcBorders>
            <w:shd w:val="clear" w:color="auto" w:fill="E4E4E4"/>
          </w:tcPr>
          <w:p>
            <w:pPr>
              <w:spacing w:after="0"/>
              <w:rPr>
                <w:sz w:val="19"/>
                <w:szCs w:val="19"/>
                <w:color w:val="auto"/>
              </w:rPr>
            </w:pPr>
          </w:p>
        </w:tc>
        <w:tc>
          <w:tcPr>
            <w:tcW w:w="4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157</w:t>
            </w:r>
          </w:p>
        </w:tc>
      </w:tr>
      <w:tr>
        <w:trPr>
          <w:trHeight w:val="20"/>
        </w:trPr>
        <w:tc>
          <w:tcPr>
            <w:tcW w:w="68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Interest and penalties on unrecognized tax benefits recorded in Benefit (provision) for income taxes in the Consolidated Statements of Income were not material during the years ended December 31, 2025, 2024, and 2023.</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INCOME TAXES.</w:t>
      </w:r>
    </w:p>
    <w:p>
      <w:pPr>
        <w:spacing w:after="0" w:line="248"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regularly evaluate the recoverability of our deferred tax assets and establish a valuation allowance, if necessary, to reduce the deferred tax assets to an amount that is more likely than not to be realized (a likelihood of more than 50%). Significant judgment is required in determining whether a valuation allowance is necessary and the amount of such valuation allowance. In assessing the recoverability of our deferred tax assets at December 31, 2025, we considered all available evidence, including the nature of financial statement losses, reversing taxable temporary differences, estimated future operating profits, and tax planning actions and strategies.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60" w:type="dxa"/>
            <w:vAlign w:val="bottom"/>
          </w:tcPr>
          <w:p>
            <w:pPr>
              <w:spacing w:after="0"/>
              <w:rPr>
                <w:sz w:val="19"/>
                <w:szCs w:val="19"/>
                <w:color w:val="auto"/>
              </w:rPr>
            </w:pPr>
          </w:p>
        </w:tc>
      </w:tr>
      <w:tr>
        <w:trPr>
          <w:trHeight w:val="21"/>
        </w:trPr>
        <w:tc>
          <w:tcPr>
            <w:tcW w:w="724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r>
      <w:tr>
        <w:trPr>
          <w:trHeight w:val="220"/>
        </w:trPr>
        <w:tc>
          <w:tcPr>
            <w:tcW w:w="7240" w:type="dxa"/>
            <w:vAlign w:val="bottom"/>
            <w:tcBorders>
              <w:bottom w:val="single" w:sz="8" w:color="6400A0"/>
            </w:tcBorders>
          </w:tcPr>
          <w:p>
            <w:pPr>
              <w:spacing w:after="0"/>
              <w:rPr>
                <w:sz w:val="19"/>
                <w:szCs w:val="19"/>
                <w:color w:val="auto"/>
              </w:rPr>
            </w:pPr>
          </w:p>
        </w:tc>
        <w:tc>
          <w:tcPr>
            <w:tcW w:w="200" w:type="dxa"/>
            <w:vAlign w:val="bottom"/>
            <w:tcBorders>
              <w:bottom w:val="single" w:sz="8" w:color="6400A0"/>
            </w:tcBorders>
          </w:tcPr>
          <w:p>
            <w:pPr>
              <w:spacing w:after="0"/>
              <w:rPr>
                <w:sz w:val="19"/>
                <w:szCs w:val="19"/>
                <w:color w:val="auto"/>
              </w:rPr>
            </w:pPr>
          </w:p>
        </w:tc>
        <w:tc>
          <w:tcPr>
            <w:tcW w:w="1800" w:type="dxa"/>
            <w:vAlign w:val="bottom"/>
            <w:tcBorders>
              <w:bottom w:val="single" w:sz="8" w:color="6400A0"/>
            </w:tcBorders>
          </w:tcPr>
          <w:p>
            <w:pPr>
              <w:jc w:val="right"/>
              <w:ind w:right="179"/>
              <w:spacing w:after="0"/>
              <w:rPr>
                <w:sz w:val="20"/>
                <w:szCs w:val="20"/>
                <w:color w:val="auto"/>
              </w:rPr>
            </w:pPr>
            <w:r>
              <w:rPr>
                <w:rFonts w:ascii="Arial" w:cs="Arial" w:eastAsia="Arial" w:hAnsi="Arial"/>
                <w:sz w:val="16"/>
                <w:szCs w:val="16"/>
                <w:b w:val="1"/>
                <w:bCs w:val="1"/>
                <w:color w:val="454545"/>
              </w:rPr>
              <w:t>December 31, 2025</w:t>
            </w:r>
          </w:p>
        </w:tc>
        <w:tc>
          <w:tcPr>
            <w:tcW w:w="240" w:type="dxa"/>
            <w:vAlign w:val="bottom"/>
            <w:tcBorders>
              <w:bottom w:val="single" w:sz="8" w:color="6400A0"/>
            </w:tcBorders>
          </w:tcPr>
          <w:p>
            <w:pPr>
              <w:spacing w:after="0"/>
              <w:rPr>
                <w:sz w:val="19"/>
                <w:szCs w:val="19"/>
                <w:color w:val="auto"/>
              </w:rPr>
            </w:pPr>
          </w:p>
        </w:tc>
        <w:tc>
          <w:tcPr>
            <w:tcW w:w="1760" w:type="dxa"/>
            <w:vAlign w:val="bottom"/>
            <w:tcBorders>
              <w:bottom w:val="single" w:sz="8" w:color="6400A0"/>
            </w:tcBorders>
          </w:tcPr>
          <w:p>
            <w:pPr>
              <w:jc w:val="right"/>
              <w:ind w:right="19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4,491</w:t>
            </w:r>
          </w:p>
        </w:tc>
        <w:tc>
          <w:tcPr>
            <w:tcW w:w="24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4,474</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(193)</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8"/>
        </w:trPr>
        <w:tc>
          <w:tcPr>
            <w:tcW w:w="7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6"/>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deferred income tax asset (liability)</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4,298</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4,418</w:t>
            </w:r>
          </w:p>
        </w:tc>
      </w:tr>
      <w:tr>
        <w:trPr>
          <w:trHeight w:val="20"/>
        </w:trPr>
        <w:tc>
          <w:tcPr>
            <w:tcW w:w="7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Components of the Net Deferred Income Tax Asset (Liability)</w:t>
            </w:r>
          </w:p>
        </w:tc>
        <w:tc>
          <w:tcPr>
            <w:tcW w:w="200" w:type="dxa"/>
            <w:vAlign w:val="bottom"/>
          </w:tcPr>
          <w:p>
            <w:pPr>
              <w:spacing w:after="0"/>
              <w:rPr>
                <w:sz w:val="19"/>
                <w:szCs w:val="19"/>
                <w:color w:val="auto"/>
              </w:rPr>
            </w:pPr>
          </w:p>
        </w:tc>
        <w:tc>
          <w:tcPr>
            <w:tcW w:w="204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60" w:type="dxa"/>
            <w:vAlign w:val="bottom"/>
          </w:tcPr>
          <w:p>
            <w:pPr>
              <w:spacing w:after="0"/>
              <w:rPr>
                <w:sz w:val="19"/>
                <w:szCs w:val="19"/>
                <w:color w:val="auto"/>
              </w:rPr>
            </w:pPr>
          </w:p>
        </w:tc>
      </w:tr>
      <w:tr>
        <w:trPr>
          <w:trHeight w:val="21"/>
        </w:trPr>
        <w:tc>
          <w:tcPr>
            <w:tcW w:w="724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r>
      <w:tr>
        <w:trPr>
          <w:trHeight w:val="220"/>
        </w:trPr>
        <w:tc>
          <w:tcPr>
            <w:tcW w:w="7240" w:type="dxa"/>
            <w:vAlign w:val="bottom"/>
            <w:tcBorders>
              <w:bottom w:val="single" w:sz="8" w:color="6400A0"/>
            </w:tcBorders>
          </w:tcPr>
          <w:p>
            <w:pPr>
              <w:spacing w:after="0"/>
              <w:rPr>
                <w:sz w:val="19"/>
                <w:szCs w:val="19"/>
                <w:color w:val="auto"/>
              </w:rPr>
            </w:pPr>
          </w:p>
        </w:tc>
        <w:tc>
          <w:tcPr>
            <w:tcW w:w="200" w:type="dxa"/>
            <w:vAlign w:val="bottom"/>
            <w:tcBorders>
              <w:bottom w:val="single" w:sz="8" w:color="6400A0"/>
            </w:tcBorders>
          </w:tcPr>
          <w:p>
            <w:pPr>
              <w:spacing w:after="0"/>
              <w:rPr>
                <w:sz w:val="19"/>
                <w:szCs w:val="19"/>
                <w:color w:val="auto"/>
              </w:rPr>
            </w:pPr>
          </w:p>
        </w:tc>
        <w:tc>
          <w:tcPr>
            <w:tcW w:w="1800" w:type="dxa"/>
            <w:vAlign w:val="bottom"/>
            <w:tcBorders>
              <w:bottom w:val="single" w:sz="8" w:color="6400A0"/>
            </w:tcBorders>
          </w:tcPr>
          <w:p>
            <w:pPr>
              <w:jc w:val="right"/>
              <w:ind w:right="179"/>
              <w:spacing w:after="0"/>
              <w:rPr>
                <w:sz w:val="20"/>
                <w:szCs w:val="20"/>
                <w:color w:val="auto"/>
              </w:rPr>
            </w:pPr>
            <w:r>
              <w:rPr>
                <w:rFonts w:ascii="Arial" w:cs="Arial" w:eastAsia="Arial" w:hAnsi="Arial"/>
                <w:sz w:val="16"/>
                <w:szCs w:val="16"/>
                <w:b w:val="1"/>
                <w:bCs w:val="1"/>
                <w:color w:val="454545"/>
              </w:rPr>
              <w:t>December 31, 2025</w:t>
            </w:r>
          </w:p>
        </w:tc>
        <w:tc>
          <w:tcPr>
            <w:tcW w:w="240" w:type="dxa"/>
            <w:vAlign w:val="bottom"/>
            <w:tcBorders>
              <w:bottom w:val="single" w:sz="8" w:color="6400A0"/>
            </w:tcBorders>
          </w:tcPr>
          <w:p>
            <w:pPr>
              <w:spacing w:after="0"/>
              <w:rPr>
                <w:sz w:val="19"/>
                <w:szCs w:val="19"/>
                <w:color w:val="auto"/>
              </w:rPr>
            </w:pPr>
          </w:p>
        </w:tc>
        <w:tc>
          <w:tcPr>
            <w:tcW w:w="1760" w:type="dxa"/>
            <w:vAlign w:val="bottom"/>
            <w:tcBorders>
              <w:bottom w:val="single" w:sz="8" w:color="6400A0"/>
            </w:tcBorders>
          </w:tcPr>
          <w:p>
            <w:pPr>
              <w:jc w:val="right"/>
              <w:ind w:right="19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Deferred tax assets: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spacing w:after="0"/>
              <w:rPr>
                <w:sz w:val="19"/>
                <w:szCs w:val="19"/>
                <w:color w:val="auto"/>
              </w:rPr>
            </w:pP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spacing w:after="0"/>
              <w:rPr>
                <w:sz w:val="19"/>
                <w:szCs w:val="19"/>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Employee benefits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1,247</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60" w:type="dxa"/>
            <w:vAlign w:val="bottom"/>
          </w:tcPr>
          <w:p>
            <w:pPr>
              <w:jc w:val="right"/>
              <w:spacing w:after="0"/>
              <w:rPr>
                <w:sz w:val="20"/>
                <w:szCs w:val="20"/>
                <w:color w:val="auto"/>
              </w:rPr>
            </w:pPr>
            <w:r>
              <w:rPr>
                <w:rFonts w:ascii="Arial" w:cs="Arial" w:eastAsia="Arial" w:hAnsi="Arial"/>
                <w:sz w:val="16"/>
                <w:szCs w:val="16"/>
                <w:color w:val="auto"/>
              </w:rPr>
              <w:t>1,340</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0"/>
        </w:trPr>
        <w:tc>
          <w:tcPr>
            <w:tcW w:w="7240" w:type="dxa"/>
            <w:vAlign w:val="bottom"/>
            <w:shd w:val="clear" w:color="auto" w:fill="E4E4E4"/>
          </w:tcPr>
          <w:p>
            <w:pPr>
              <w:ind w:left="20"/>
              <w:spacing w:after="0"/>
              <w:rPr>
                <w:sz w:val="20"/>
                <w:szCs w:val="20"/>
                <w:color w:val="auto"/>
              </w:rPr>
            </w:pPr>
            <w:r>
              <w:rPr>
                <w:rFonts w:ascii="Arial" w:cs="Arial" w:eastAsia="Arial" w:hAnsi="Arial"/>
                <w:sz w:val="16"/>
                <w:szCs w:val="16"/>
                <w:color w:val="auto"/>
              </w:rPr>
              <w:t>Reserves and accruals</w:t>
            </w:r>
          </w:p>
        </w:tc>
        <w:tc>
          <w:tcPr>
            <w:tcW w:w="200" w:type="dxa"/>
            <w:vAlign w:val="bottom"/>
            <w:shd w:val="clear" w:color="auto" w:fill="E4E4E4"/>
          </w:tcPr>
          <w:p>
            <w:pPr>
              <w:spacing w:after="0"/>
              <w:rPr>
                <w:sz w:val="19"/>
                <w:szCs w:val="19"/>
                <w:color w:val="auto"/>
              </w:rPr>
            </w:pPr>
          </w:p>
        </w:tc>
        <w:tc>
          <w:tcPr>
            <w:tcW w:w="1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481</w:t>
            </w:r>
          </w:p>
        </w:tc>
        <w:tc>
          <w:tcPr>
            <w:tcW w:w="240" w:type="dxa"/>
            <w:vAlign w:val="bottom"/>
            <w:shd w:val="clear" w:color="auto" w:fill="E4E4E4"/>
          </w:tcPr>
          <w:p>
            <w:pPr>
              <w:spacing w:after="0"/>
              <w:rPr>
                <w:sz w:val="19"/>
                <w:szCs w:val="19"/>
                <w:color w:val="auto"/>
              </w:rPr>
            </w:pPr>
          </w:p>
        </w:tc>
        <w:tc>
          <w:tcPr>
            <w:tcW w:w="1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413</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Operating loss carryforwards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463</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3"/>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Lease liabilities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48</w:t>
            </w: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Tax credit carryforwards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119</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0"/>
        </w:trPr>
        <w:tc>
          <w:tcPr>
            <w:tcW w:w="7240" w:type="dxa"/>
            <w:vAlign w:val="bottom"/>
            <w:shd w:val="clear" w:color="auto" w:fill="E4E4E4"/>
          </w:tcPr>
          <w:p>
            <w:pPr>
              <w:ind w:left="20"/>
              <w:spacing w:after="0"/>
              <w:rPr>
                <w:sz w:val="20"/>
                <w:szCs w:val="20"/>
                <w:color w:val="auto"/>
              </w:rPr>
            </w:pPr>
            <w:r>
              <w:rPr>
                <w:rFonts w:ascii="Arial" w:cs="Arial" w:eastAsia="Arial" w:hAnsi="Arial"/>
                <w:sz w:val="16"/>
                <w:szCs w:val="16"/>
                <w:color w:val="auto"/>
              </w:rPr>
              <w:t>U.S. interest restriction carryforwards</w:t>
            </w:r>
          </w:p>
        </w:tc>
        <w:tc>
          <w:tcPr>
            <w:tcW w:w="200" w:type="dxa"/>
            <w:vAlign w:val="bottom"/>
            <w:shd w:val="clear" w:color="auto" w:fill="E4E4E4"/>
          </w:tcPr>
          <w:p>
            <w:pPr>
              <w:spacing w:after="0"/>
              <w:rPr>
                <w:sz w:val="19"/>
                <w:szCs w:val="19"/>
                <w:color w:val="auto"/>
              </w:rPr>
            </w:pPr>
          </w:p>
        </w:tc>
        <w:tc>
          <w:tcPr>
            <w:tcW w:w="18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135</w:t>
            </w:r>
          </w:p>
        </w:tc>
        <w:tc>
          <w:tcPr>
            <w:tcW w:w="240" w:type="dxa"/>
            <w:vAlign w:val="bottom"/>
            <w:shd w:val="clear" w:color="auto" w:fill="E4E4E4"/>
          </w:tcPr>
          <w:p>
            <w:pPr>
              <w:spacing w:after="0"/>
              <w:rPr>
                <w:sz w:val="19"/>
                <w:szCs w:val="19"/>
                <w:color w:val="auto"/>
              </w:rPr>
            </w:pPr>
          </w:p>
        </w:tc>
        <w:tc>
          <w:tcPr>
            <w:tcW w:w="17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156</w:t>
            </w:r>
          </w:p>
        </w:tc>
      </w:tr>
      <w:tr>
        <w:trPr>
          <w:trHeight w:val="222"/>
        </w:trPr>
        <w:tc>
          <w:tcPr>
            <w:tcW w:w="724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1,184</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1,355</w:t>
            </w:r>
          </w:p>
        </w:tc>
      </w:tr>
      <w:tr>
        <w:trPr>
          <w:trHeight w:val="230"/>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Property, plant, and equipment</w:t>
            </w:r>
          </w:p>
        </w:tc>
        <w:tc>
          <w:tcPr>
            <w:tcW w:w="200" w:type="dxa"/>
            <w:vAlign w:val="bottom"/>
            <w:tcBorders>
              <w:bottom w:val="single" w:sz="8" w:color="E4E4E4"/>
            </w:tcBorders>
            <w:shd w:val="clear" w:color="auto" w:fill="E4E4E4"/>
          </w:tcPr>
          <w:p>
            <w:pPr>
              <w:spacing w:after="0"/>
              <w:rPr>
                <w:sz w:val="20"/>
                <w:szCs w:val="20"/>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181</w:t>
            </w:r>
          </w:p>
        </w:tc>
        <w:tc>
          <w:tcPr>
            <w:tcW w:w="240" w:type="dxa"/>
            <w:vAlign w:val="bottom"/>
            <w:tcBorders>
              <w:bottom w:val="single" w:sz="8" w:color="E4E4E4"/>
            </w:tcBorders>
            <w:shd w:val="clear" w:color="auto" w:fill="E4E4E4"/>
          </w:tcPr>
          <w:p>
            <w:pPr>
              <w:spacing w:after="0"/>
              <w:rPr>
                <w:sz w:val="20"/>
                <w:szCs w:val="20"/>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223</w:t>
            </w: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Capitalized R&amp;D</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834</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689</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23"/>
        </w:trPr>
        <w:tc>
          <w:tcPr>
            <w:tcW w:w="72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deferred tax assets</w:t>
            </w:r>
          </w:p>
        </w:tc>
        <w:tc>
          <w:tcPr>
            <w:tcW w:w="200" w:type="dxa"/>
            <w:vAlign w:val="bottom"/>
            <w:tcBorders>
              <w:bottom w:val="single" w:sz="8" w:color="auto"/>
            </w:tcBorders>
            <w:shd w:val="clear" w:color="auto" w:fill="E4E4E4"/>
          </w:tcPr>
          <w:p>
            <w:pPr>
              <w:spacing w:after="0"/>
              <w:rPr>
                <w:sz w:val="19"/>
                <w:szCs w:val="19"/>
                <w:color w:val="auto"/>
              </w:rPr>
            </w:pPr>
          </w:p>
        </w:tc>
        <w:tc>
          <w:tcPr>
            <w:tcW w:w="1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auto"/>
            </w:tcBorders>
            <w:shd w:val="clear" w:color="auto" w:fill="E4E4E4"/>
          </w:tcPr>
          <w:p>
            <w:pPr>
              <w:spacing w:after="0"/>
              <w:rPr>
                <w:sz w:val="19"/>
                <w:szCs w:val="19"/>
                <w:color w:val="auto"/>
              </w:rPr>
            </w:pPr>
          </w:p>
        </w:tc>
        <w:tc>
          <w:tcPr>
            <w:tcW w:w="1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55</w:t>
            </w:r>
          </w:p>
        </w:tc>
      </w:tr>
      <w:tr>
        <w:trPr>
          <w:trHeight w:val="223"/>
        </w:trPr>
        <w:tc>
          <w:tcPr>
            <w:tcW w:w="7240" w:type="dxa"/>
            <w:vAlign w:val="bottom"/>
          </w:tcPr>
          <w:p>
            <w:pPr>
              <w:ind w:left="20"/>
              <w:spacing w:after="0"/>
              <w:rPr>
                <w:sz w:val="20"/>
                <w:szCs w:val="20"/>
                <w:color w:val="auto"/>
              </w:rPr>
            </w:pPr>
            <w:r>
              <w:rPr>
                <w:rFonts w:ascii="Arial" w:cs="Arial" w:eastAsia="Arial" w:hAnsi="Arial"/>
                <w:sz w:val="16"/>
                <w:szCs w:val="16"/>
                <w:b w:val="1"/>
                <w:bCs w:val="1"/>
                <w:color w:val="auto"/>
              </w:rPr>
              <w:t>Total deferred income tax asset</w:t>
            </w: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4,793</w:t>
            </w:r>
          </w:p>
        </w:tc>
        <w:tc>
          <w:tcPr>
            <w:tcW w:w="2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4,817</w:t>
            </w:r>
          </w:p>
        </w:tc>
      </w:tr>
      <w:tr>
        <w:trPr>
          <w:trHeight w:val="20"/>
        </w:trPr>
        <w:tc>
          <w:tcPr>
            <w:tcW w:w="7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48"/>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Valuation allowances</w:t>
            </w:r>
          </w:p>
        </w:tc>
        <w:tc>
          <w:tcPr>
            <w:tcW w:w="200" w:type="dxa"/>
            <w:vAlign w:val="bottom"/>
            <w:tcBorders>
              <w:bottom w:val="single" w:sz="8" w:color="E4E4E4"/>
            </w:tcBorders>
            <w:shd w:val="clear" w:color="auto" w:fill="E4E4E4"/>
          </w:tcPr>
          <w:p>
            <w:pPr>
              <w:spacing w:after="0"/>
              <w:rPr>
                <w:sz w:val="21"/>
                <w:szCs w:val="21"/>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(251)</w:t>
            </w:r>
          </w:p>
        </w:tc>
        <w:tc>
          <w:tcPr>
            <w:tcW w:w="240" w:type="dxa"/>
            <w:vAlign w:val="bottom"/>
            <w:tcBorders>
              <w:bottom w:val="single" w:sz="8" w:color="E4E4E4"/>
            </w:tcBorders>
            <w:shd w:val="clear" w:color="auto" w:fill="E4E4E4"/>
          </w:tcPr>
          <w:p>
            <w:pPr>
              <w:spacing w:after="0"/>
              <w:rPr>
                <w:sz w:val="21"/>
                <w:szCs w:val="21"/>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(231)</w:t>
            </w:r>
          </w:p>
        </w:tc>
      </w:tr>
      <w:tr>
        <w:trPr>
          <w:trHeight w:val="220"/>
        </w:trPr>
        <w:tc>
          <w:tcPr>
            <w:tcW w:w="7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deferred income tax asset after valuation allowance</w:t>
            </w:r>
          </w:p>
        </w:tc>
        <w:tc>
          <w:tcPr>
            <w:tcW w:w="20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4,542</w:t>
            </w:r>
          </w:p>
        </w:tc>
        <w:tc>
          <w:tcPr>
            <w:tcW w:w="24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4,586</w:t>
            </w:r>
          </w:p>
        </w:tc>
      </w:tr>
      <w:tr>
        <w:trPr>
          <w:trHeight w:val="220"/>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Deferred tax liabilities:</w:t>
            </w:r>
          </w:p>
        </w:tc>
        <w:tc>
          <w:tcPr>
            <w:tcW w:w="20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spacing w:after="0"/>
              <w:rPr>
                <w:sz w:val="19"/>
                <w:szCs w:val="19"/>
                <w:color w:val="auto"/>
              </w:rPr>
            </w:pPr>
          </w:p>
        </w:tc>
        <w:tc>
          <w:tcPr>
            <w:tcW w:w="24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spacing w:after="0"/>
              <w:rPr>
                <w:sz w:val="19"/>
                <w:szCs w:val="19"/>
                <w:color w:val="auto"/>
              </w:rPr>
            </w:pPr>
          </w:p>
        </w:tc>
      </w:tr>
      <w:tr>
        <w:trPr>
          <w:trHeight w:val="215"/>
        </w:trPr>
        <w:tc>
          <w:tcPr>
            <w:tcW w:w="7240" w:type="dxa"/>
            <w:vAlign w:val="bottom"/>
          </w:tcPr>
          <w:p>
            <w:pPr>
              <w:ind w:left="20"/>
              <w:spacing w:after="0"/>
              <w:rPr>
                <w:sz w:val="20"/>
                <w:szCs w:val="20"/>
                <w:color w:val="auto"/>
              </w:rPr>
            </w:pPr>
            <w:r>
              <w:rPr>
                <w:rFonts w:ascii="Arial" w:cs="Arial" w:eastAsia="Arial" w:hAnsi="Arial"/>
                <w:sz w:val="16"/>
                <w:szCs w:val="16"/>
                <w:color w:val="auto"/>
              </w:rPr>
              <w:t>ROU assets</w:t>
            </w:r>
          </w:p>
        </w:tc>
        <w:tc>
          <w:tcPr>
            <w:tcW w:w="20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8"/>
        </w:trPr>
        <w:tc>
          <w:tcPr>
            <w:tcW w:w="7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8"/>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deferred tax liabilities</w:t>
            </w:r>
          </w:p>
        </w:tc>
        <w:tc>
          <w:tcPr>
            <w:tcW w:w="200" w:type="dxa"/>
            <w:vAlign w:val="bottom"/>
            <w:tcBorders>
              <w:bottom w:val="single" w:sz="8" w:color="E4E4E4"/>
            </w:tcBorders>
            <w:shd w:val="clear" w:color="auto" w:fill="E4E4E4"/>
          </w:tcPr>
          <w:p>
            <w:pPr>
              <w:spacing w:after="0"/>
              <w:rPr>
                <w:sz w:val="21"/>
                <w:szCs w:val="21"/>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(198)</w:t>
            </w:r>
          </w:p>
        </w:tc>
        <w:tc>
          <w:tcPr>
            <w:tcW w:w="240" w:type="dxa"/>
            <w:vAlign w:val="bottom"/>
            <w:tcBorders>
              <w:bottom w:val="single" w:sz="8" w:color="E4E4E4"/>
            </w:tcBorders>
            <w:shd w:val="clear" w:color="auto" w:fill="E4E4E4"/>
          </w:tcPr>
          <w:p>
            <w:pPr>
              <w:spacing w:after="0"/>
              <w:rPr>
                <w:sz w:val="21"/>
                <w:szCs w:val="21"/>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(126)</w:t>
            </w:r>
          </w:p>
        </w:tc>
      </w:tr>
      <w:tr>
        <w:trPr>
          <w:trHeight w:val="216"/>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deferred income tax liability</w:t>
            </w: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(244)</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w:t>
            </w: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17"/>
        </w:trPr>
        <w:tc>
          <w:tcPr>
            <w:tcW w:w="72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Net deferred income tax asset (liability)</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4,298</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b w:val="1"/>
                <w:bCs w:val="1"/>
                <w:color w:val="auto"/>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4,418</w:t>
            </w:r>
          </w:p>
        </w:tc>
      </w:tr>
      <w:tr>
        <w:trPr>
          <w:trHeight w:val="20"/>
        </w:trPr>
        <w:tc>
          <w:tcPr>
            <w:tcW w:w="7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Valuation allowances primarily relate to non-U.S. deferred taxes where there were historical losses and U.S. federal and state credit carryforwards. Activity in the valuation allowance consists of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Pr>
          <w:p>
            <w:pPr>
              <w:ind w:left="20"/>
              <w:spacing w:after="0"/>
              <w:rPr>
                <w:sz w:val="20"/>
                <w:szCs w:val="20"/>
                <w:color w:val="auto"/>
              </w:rPr>
            </w:pPr>
            <w:r>
              <w:rPr>
                <w:rFonts w:ascii="Arial" w:cs="Arial" w:eastAsia="Arial" w:hAnsi="Arial"/>
                <w:sz w:val="16"/>
                <w:szCs w:val="16"/>
                <w:b w:val="1"/>
                <w:bCs w:val="1"/>
                <w:color w:val="auto"/>
              </w:rPr>
              <w:t>Valuation Allowances</w:t>
            </w:r>
          </w:p>
        </w:tc>
        <w:tc>
          <w:tcPr>
            <w:tcW w:w="960" w:type="dxa"/>
            <w:vAlign w:val="bottom"/>
          </w:tcPr>
          <w:p>
            <w:pPr>
              <w:spacing w:after="0"/>
              <w:rPr>
                <w:sz w:val="19"/>
                <w:szCs w:val="19"/>
                <w:color w:val="auto"/>
              </w:rPr>
            </w:pPr>
          </w:p>
        </w:tc>
        <w:tc>
          <w:tcPr>
            <w:tcW w:w="264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980" w:type="dxa"/>
            <w:vAlign w:val="bottom"/>
          </w:tcPr>
          <w:p>
            <w:pPr>
              <w:spacing w:after="0"/>
              <w:rPr>
                <w:sz w:val="19"/>
                <w:szCs w:val="19"/>
                <w:color w:val="auto"/>
              </w:rPr>
            </w:pPr>
          </w:p>
        </w:tc>
      </w:tr>
      <w:tr>
        <w:trPr>
          <w:trHeight w:val="21"/>
        </w:trPr>
        <w:tc>
          <w:tcPr>
            <w:tcW w:w="6640" w:type="dxa"/>
            <w:vAlign w:val="bottom"/>
          </w:tcPr>
          <w:p>
            <w:pPr>
              <w:spacing w:after="0" w:line="20" w:lineRule="exact"/>
              <w:rPr>
                <w:sz w:val="1"/>
                <w:szCs w:val="1"/>
                <w:color w:val="auto"/>
              </w:rPr>
            </w:pPr>
          </w:p>
        </w:tc>
        <w:tc>
          <w:tcPr>
            <w:tcW w:w="96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1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r>
      <w:tr>
        <w:trPr>
          <w:trHeight w:val="220"/>
        </w:trPr>
        <w:tc>
          <w:tcPr>
            <w:tcW w:w="6640" w:type="dxa"/>
            <w:vAlign w:val="bottom"/>
            <w:tcBorders>
              <w:bottom w:val="single" w:sz="8" w:color="6022A6"/>
            </w:tcBorders>
          </w:tcPr>
          <w:p>
            <w:pPr>
              <w:spacing w:after="0"/>
              <w:rPr>
                <w:sz w:val="19"/>
                <w:szCs w:val="19"/>
                <w:color w:val="auto"/>
              </w:rPr>
            </w:pPr>
          </w:p>
        </w:tc>
        <w:tc>
          <w:tcPr>
            <w:tcW w:w="96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2025</w:t>
            </w:r>
          </w:p>
        </w:tc>
        <w:tc>
          <w:tcPr>
            <w:tcW w:w="540" w:type="dxa"/>
            <w:vAlign w:val="bottom"/>
            <w:tcBorders>
              <w:bottom w:val="single" w:sz="8" w:color="6022A6"/>
            </w:tcBorders>
          </w:tcPr>
          <w:p>
            <w:pPr>
              <w:spacing w:after="0"/>
              <w:rPr>
                <w:sz w:val="19"/>
                <w:szCs w:val="19"/>
                <w:color w:val="auto"/>
              </w:rPr>
            </w:pPr>
          </w:p>
        </w:tc>
        <w:tc>
          <w:tcPr>
            <w:tcW w:w="360" w:type="dxa"/>
            <w:vAlign w:val="bottom"/>
            <w:tcBorders>
              <w:bottom w:val="single" w:sz="8" w:color="6022A6"/>
            </w:tcBorders>
          </w:tcPr>
          <w:p>
            <w:pPr>
              <w:spacing w:after="0"/>
              <w:rPr>
                <w:sz w:val="19"/>
                <w:szCs w:val="19"/>
                <w:color w:val="auto"/>
              </w:rPr>
            </w:pPr>
          </w:p>
        </w:tc>
        <w:tc>
          <w:tcPr>
            <w:tcW w:w="118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2024</w:t>
            </w:r>
          </w:p>
        </w:tc>
        <w:tc>
          <w:tcPr>
            <w:tcW w:w="560" w:type="dxa"/>
            <w:vAlign w:val="bottom"/>
            <w:tcBorders>
              <w:bottom w:val="single" w:sz="8" w:color="6022A6"/>
            </w:tcBorders>
          </w:tcPr>
          <w:p>
            <w:pPr>
              <w:spacing w:after="0"/>
              <w:rPr>
                <w:sz w:val="19"/>
                <w:szCs w:val="19"/>
                <w:color w:val="auto"/>
              </w:rPr>
            </w:pPr>
          </w:p>
        </w:tc>
        <w:tc>
          <w:tcPr>
            <w:tcW w:w="98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2023</w:t>
            </w:r>
          </w:p>
        </w:tc>
      </w:tr>
      <w:tr>
        <w:trPr>
          <w:trHeight w:val="233"/>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960" w:type="dxa"/>
            <w:vAlign w:val="bottom"/>
            <w:tcBorders>
              <w:bottom w:val="single" w:sz="8" w:color="E4E4E4"/>
            </w:tcBorders>
            <w:shd w:val="clear" w:color="auto" w:fill="E4E4E4"/>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231</w:t>
            </w:r>
          </w:p>
        </w:tc>
        <w:tc>
          <w:tcPr>
            <w:tcW w:w="36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540</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272</w:t>
            </w:r>
          </w:p>
        </w:tc>
      </w:tr>
      <w:tr>
        <w:trPr>
          <w:trHeight w:val="228"/>
        </w:trPr>
        <w:tc>
          <w:tcPr>
            <w:tcW w:w="664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9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(279)</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9"/>
        </w:trPr>
        <w:tc>
          <w:tcPr>
            <w:tcW w:w="6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2"/>
        </w:trPr>
        <w:tc>
          <w:tcPr>
            <w:tcW w:w="66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exchange and other</w:t>
            </w:r>
          </w:p>
        </w:tc>
        <w:tc>
          <w:tcPr>
            <w:tcW w:w="96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w:t>
            </w:r>
          </w:p>
        </w:tc>
        <w:tc>
          <w:tcPr>
            <w:tcW w:w="360" w:type="dxa"/>
            <w:vAlign w:val="bottom"/>
            <w:tcBorders>
              <w:bottom w:val="single" w:sz="8" w:color="E4E4E4"/>
            </w:tcBorders>
            <w:shd w:val="clear" w:color="auto" w:fill="E4E4E4"/>
          </w:tcPr>
          <w:p>
            <w:pPr>
              <w:spacing w:after="0"/>
              <w:rPr>
                <w:sz w:val="22"/>
                <w:szCs w:val="22"/>
                <w:color w:val="auto"/>
              </w:rPr>
            </w:pPr>
          </w:p>
        </w:tc>
        <w:tc>
          <w:tcPr>
            <w:tcW w:w="1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(31)</w:t>
            </w:r>
          </w:p>
        </w:tc>
        <w:tc>
          <w:tcPr>
            <w:tcW w:w="56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280</w:t>
            </w:r>
          </w:p>
        </w:tc>
      </w:tr>
      <w:tr>
        <w:trPr>
          <w:trHeight w:val="229"/>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96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251</w:t>
            </w:r>
          </w:p>
        </w:tc>
        <w:tc>
          <w:tcPr>
            <w:tcW w:w="3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231</w:t>
            </w:r>
          </w:p>
        </w:tc>
        <w:tc>
          <w:tcPr>
            <w:tcW w:w="5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540</w:t>
            </w: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For the year ended December 31, 2024, our valuation allowance decreased by $310 million, which included a release of a valuation allowance in France of $295 million reflected in the Provision for income taxes line. Based on our analysis of all positive and negative evidence during the year ended December 31, 2024, we concluded that it is more likely than not that France deferred tax assets will be realizable based on our profitability in France as a stand-alone company post Spin-Off and our expectation for the continued generation of prospective positive income in the jurisdiction. In making these judgments, we considered various business and structural factors as a stand-alone company, which support our conclusion of the realization of the deferred tax assets. As a result of the Spin-Off, there was an increase in the valuation allowance of $269 million in 2023, which is included in the Foreign currency exchange and other line of the table above.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OPERATING LOSSES.</w:t>
      </w:r>
    </w:p>
    <w:p>
      <w:pPr>
        <w:spacing w:after="0" w:line="24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As of December 31, 2025, the Company had net operating loss carryforwards of $5,987 million primarily related to Ireland, France, Brazil, Germany, and the Netherlands, which can be carried forward indefinitely. The gross net operating loss carryforwards resulted in a deferred tax asset of $1,170 million as of December 31, 2025. This amount excludes accruals of $300 million for unrecognized tax benefits the Company has recorded related to the underlying tax positions which generated the net operating losses and expected impacts to U.S. foreign tax credits of $407 million.</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UNDISTRIBUTED EARNINGS.</w:t>
      </w:r>
    </w:p>
    <w:p>
      <w:pPr>
        <w:spacing w:after="0" w:line="248"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Post Spin-Off, the Company’s previously undistributed earnings of certain of our foreign subsidiaries are no longer indefinitely reinvested in non-U.S. businesses due to current U.S. funding needs. Therefore, in 2023, an incremental deferred tax liability of $21 million was recorded for withholding and other foreign taxes due upon future distribution of earnings. In addition, the Company is providing for withholding and other foreign taxes due upon future distribution of current period earnings. However, the Company generally considers instances of outside basis differences in foreign subsidiaries that would incur additional U.S. tax upon an unforeseen future reversal (e.g., capital gain distribution or disposition to an unrelated third party) of approximately</w:t>
      </w:r>
    </w:p>
    <w:p>
      <w:pPr>
        <w:spacing w:after="0" w:line="3" w:lineRule="exact"/>
        <w:rPr>
          <w:sz w:val="20"/>
          <w:szCs w:val="20"/>
          <w:color w:val="auto"/>
        </w:rPr>
      </w:pPr>
    </w:p>
    <w:p>
      <w:pPr>
        <w:ind w:right="660"/>
        <w:spacing w:after="0" w:line="283" w:lineRule="auto"/>
        <w:rPr>
          <w:sz w:val="20"/>
          <w:szCs w:val="20"/>
          <w:color w:val="auto"/>
        </w:rPr>
      </w:pPr>
      <w:r>
        <w:rPr>
          <w:rFonts w:ascii="Arial" w:cs="Arial" w:eastAsia="Arial" w:hAnsi="Arial"/>
          <w:sz w:val="16"/>
          <w:szCs w:val="16"/>
          <w:color w:val="auto"/>
        </w:rPr>
        <w:t>$8 billion to be permanent in duration. Quantification of the deferred tax liability, if any, associated with indefinitely reinvested basis differences is not practicable.</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TAXES PAID.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amounts of cash paid for income taxes by GE HealthCare are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760" w:type="dxa"/>
            <w:vAlign w:val="bottom"/>
            <w:tcBorders>
              <w:bottom w:val="single" w:sz="8" w:color="6400A0"/>
            </w:tcBorders>
          </w:tcPr>
          <w:p>
            <w:pPr>
              <w:spacing w:after="0"/>
              <w:rPr>
                <w:sz w:val="19"/>
                <w:szCs w:val="19"/>
                <w:color w:val="auto"/>
              </w:rPr>
            </w:pPr>
          </w:p>
        </w:tc>
        <w:tc>
          <w:tcPr>
            <w:tcW w:w="5480" w:type="dxa"/>
            <w:vAlign w:val="bottom"/>
            <w:tcBorders>
              <w:bottom w:val="single" w:sz="8" w:color="6400A0"/>
            </w:tcBorders>
            <w:gridSpan w:val="2"/>
          </w:tcPr>
          <w:p>
            <w:pPr>
              <w:jc w:val="right"/>
              <w:spacing w:after="0"/>
              <w:rPr>
                <w:sz w:val="20"/>
                <w:szCs w:val="20"/>
                <w:color w:val="auto"/>
              </w:rPr>
            </w:pPr>
            <w:r>
              <w:rPr>
                <w:rFonts w:ascii="Arial" w:cs="Arial" w:eastAsia="Arial" w:hAnsi="Arial"/>
                <w:sz w:val="16"/>
                <w:szCs w:val="16"/>
                <w:b w:val="1"/>
                <w:bCs w:val="1"/>
                <w:color w:val="454545"/>
              </w:rPr>
              <w:t>For the year ended December 31, 2025</w:t>
            </w:r>
          </w:p>
        </w:tc>
      </w:tr>
      <w:tr>
        <w:trPr>
          <w:trHeight w:val="227"/>
        </w:trPr>
        <w:tc>
          <w:tcPr>
            <w:tcW w:w="5760" w:type="dxa"/>
            <w:vAlign w:val="bottom"/>
            <w:shd w:val="clear" w:color="auto" w:fill="E4E4E4"/>
          </w:tcPr>
          <w:p>
            <w:pPr>
              <w:ind w:left="20"/>
              <w:spacing w:after="0"/>
              <w:rPr>
                <w:sz w:val="20"/>
                <w:szCs w:val="20"/>
                <w:color w:val="auto"/>
              </w:rPr>
            </w:pPr>
            <w:r>
              <w:rPr>
                <w:rFonts w:ascii="Arial" w:cs="Arial" w:eastAsia="Arial" w:hAnsi="Arial"/>
                <w:sz w:val="16"/>
                <w:szCs w:val="16"/>
                <w:color w:val="auto"/>
              </w:rPr>
              <w:t>U.S. Federal</w:t>
            </w:r>
          </w:p>
        </w:tc>
        <w:tc>
          <w:tcPr>
            <w:tcW w:w="3820" w:type="dxa"/>
            <w:vAlign w:val="bottom"/>
            <w:shd w:val="clear" w:color="auto" w:fill="E4E4E4"/>
          </w:tcPr>
          <w:p>
            <w:pPr>
              <w:jc w:val="right"/>
              <w:ind w:right="12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38</w:t>
            </w:r>
          </w:p>
        </w:tc>
      </w:tr>
      <w:tr>
        <w:trPr>
          <w:trHeight w:val="222"/>
        </w:trPr>
        <w:tc>
          <w:tcPr>
            <w:tcW w:w="5760" w:type="dxa"/>
            <w:vAlign w:val="bottom"/>
          </w:tcPr>
          <w:p>
            <w:pPr>
              <w:ind w:left="20"/>
              <w:spacing w:after="0"/>
              <w:rPr>
                <w:sz w:val="20"/>
                <w:szCs w:val="20"/>
                <w:color w:val="auto"/>
              </w:rPr>
            </w:pPr>
            <w:r>
              <w:rPr>
                <w:rFonts w:ascii="Arial" w:cs="Arial" w:eastAsia="Arial" w:hAnsi="Arial"/>
                <w:sz w:val="16"/>
                <w:szCs w:val="16"/>
                <w:color w:val="auto"/>
              </w:rPr>
              <w:t>U.S. State</w:t>
            </w:r>
          </w:p>
        </w:tc>
        <w:tc>
          <w:tcPr>
            <w:tcW w:w="38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5760" w:type="dxa"/>
            <w:vAlign w:val="bottom"/>
            <w:shd w:val="clear" w:color="auto" w:fill="E4E4E4"/>
          </w:tcPr>
          <w:p>
            <w:pPr>
              <w:ind w:left="20"/>
              <w:spacing w:after="0"/>
              <w:rPr>
                <w:sz w:val="20"/>
                <w:szCs w:val="20"/>
                <w:color w:val="auto"/>
              </w:rPr>
            </w:pPr>
            <w:r>
              <w:rPr>
                <w:rFonts w:ascii="Arial" w:cs="Arial" w:eastAsia="Arial" w:hAnsi="Arial"/>
                <w:sz w:val="16"/>
                <w:szCs w:val="16"/>
                <w:color w:val="auto"/>
              </w:rPr>
              <w:t>Foreign</w:t>
            </w:r>
          </w:p>
        </w:tc>
        <w:tc>
          <w:tcPr>
            <w:tcW w:w="3820" w:type="dxa"/>
            <w:vAlign w:val="bottom"/>
            <w:shd w:val="clear" w:color="auto" w:fill="E4E4E4"/>
          </w:tcPr>
          <w:p>
            <w:pPr>
              <w:spacing w:after="0"/>
              <w:rPr>
                <w:sz w:val="20"/>
                <w:szCs w:val="20"/>
                <w:color w:val="auto"/>
              </w:rPr>
            </w:pPr>
          </w:p>
        </w:tc>
        <w:tc>
          <w:tcPr>
            <w:tcW w:w="1660" w:type="dxa"/>
            <w:vAlign w:val="bottom"/>
            <w:shd w:val="clear" w:color="auto" w:fill="E4E4E4"/>
          </w:tcPr>
          <w:p>
            <w:pPr>
              <w:spacing w:after="0"/>
              <w:rPr>
                <w:sz w:val="20"/>
                <w:szCs w:val="20"/>
                <w:color w:val="auto"/>
              </w:rPr>
            </w:pPr>
          </w:p>
        </w:tc>
      </w:tr>
      <w:tr>
        <w:trPr>
          <w:trHeight w:val="222"/>
        </w:trPr>
        <w:tc>
          <w:tcPr>
            <w:tcW w:w="5760" w:type="dxa"/>
            <w:vAlign w:val="bottom"/>
          </w:tcPr>
          <w:p>
            <w:pPr>
              <w:ind w:left="120"/>
              <w:spacing w:after="0"/>
              <w:rPr>
                <w:sz w:val="20"/>
                <w:szCs w:val="20"/>
                <w:color w:val="auto"/>
              </w:rPr>
            </w:pPr>
            <w:r>
              <w:rPr>
                <w:rFonts w:ascii="Arial" w:cs="Arial" w:eastAsia="Arial" w:hAnsi="Arial"/>
                <w:sz w:val="16"/>
                <w:szCs w:val="16"/>
                <w:color w:val="auto"/>
              </w:rPr>
              <w:t>Norway</w:t>
            </w:r>
          </w:p>
        </w:tc>
        <w:tc>
          <w:tcPr>
            <w:tcW w:w="38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37"/>
        </w:trPr>
        <w:tc>
          <w:tcPr>
            <w:tcW w:w="5760" w:type="dxa"/>
            <w:vAlign w:val="bottom"/>
            <w:shd w:val="clear" w:color="auto" w:fill="E4E4E4"/>
          </w:tcPr>
          <w:p>
            <w:pPr>
              <w:ind w:left="120"/>
              <w:spacing w:after="0"/>
              <w:rPr>
                <w:sz w:val="20"/>
                <w:szCs w:val="20"/>
                <w:color w:val="auto"/>
              </w:rPr>
            </w:pPr>
            <w:r>
              <w:rPr>
                <w:rFonts w:ascii="Arial" w:cs="Arial" w:eastAsia="Arial" w:hAnsi="Arial"/>
                <w:sz w:val="16"/>
                <w:szCs w:val="16"/>
                <w:color w:val="auto"/>
              </w:rPr>
              <w:t>China</w:t>
            </w:r>
          </w:p>
        </w:tc>
        <w:tc>
          <w:tcPr>
            <w:tcW w:w="3820" w:type="dxa"/>
            <w:vAlign w:val="bottom"/>
            <w:shd w:val="clear" w:color="auto" w:fill="E4E4E4"/>
          </w:tcPr>
          <w:p>
            <w:pPr>
              <w:spacing w:after="0"/>
              <w:rPr>
                <w:sz w:val="20"/>
                <w:szCs w:val="20"/>
                <w:color w:val="auto"/>
              </w:rPr>
            </w:pPr>
          </w:p>
        </w:tc>
        <w:tc>
          <w:tcPr>
            <w:tcW w:w="16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66</w:t>
            </w:r>
          </w:p>
        </w:tc>
      </w:tr>
      <w:tr>
        <w:trPr>
          <w:trHeight w:val="222"/>
        </w:trPr>
        <w:tc>
          <w:tcPr>
            <w:tcW w:w="5760" w:type="dxa"/>
            <w:vAlign w:val="bottom"/>
          </w:tcPr>
          <w:p>
            <w:pPr>
              <w:ind w:left="120"/>
              <w:spacing w:after="0"/>
              <w:rPr>
                <w:sz w:val="20"/>
                <w:szCs w:val="20"/>
                <w:color w:val="auto"/>
              </w:rPr>
            </w:pPr>
            <w:r>
              <w:rPr>
                <w:rFonts w:ascii="Arial" w:cs="Arial" w:eastAsia="Arial" w:hAnsi="Arial"/>
                <w:sz w:val="16"/>
                <w:szCs w:val="16"/>
                <w:color w:val="auto"/>
              </w:rPr>
              <w:t>India</w:t>
            </w:r>
          </w:p>
        </w:tc>
        <w:tc>
          <w:tcPr>
            <w:tcW w:w="38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5760" w:type="dxa"/>
            <w:vAlign w:val="bottom"/>
            <w:shd w:val="clear" w:color="auto" w:fill="E4E4E4"/>
          </w:tcPr>
          <w:p>
            <w:pPr>
              <w:ind w:left="120"/>
              <w:spacing w:after="0"/>
              <w:rPr>
                <w:sz w:val="20"/>
                <w:szCs w:val="20"/>
                <w:color w:val="auto"/>
              </w:rPr>
            </w:pPr>
            <w:r>
              <w:rPr>
                <w:rFonts w:ascii="Arial" w:cs="Arial" w:eastAsia="Arial" w:hAnsi="Arial"/>
                <w:sz w:val="16"/>
                <w:szCs w:val="16"/>
                <w:color w:val="auto"/>
              </w:rPr>
              <w:t>Japan</w:t>
            </w:r>
          </w:p>
        </w:tc>
        <w:tc>
          <w:tcPr>
            <w:tcW w:w="3820" w:type="dxa"/>
            <w:vAlign w:val="bottom"/>
            <w:shd w:val="clear" w:color="auto" w:fill="E4E4E4"/>
          </w:tcPr>
          <w:p>
            <w:pPr>
              <w:spacing w:after="0"/>
              <w:rPr>
                <w:sz w:val="20"/>
                <w:szCs w:val="20"/>
                <w:color w:val="auto"/>
              </w:rPr>
            </w:pPr>
          </w:p>
        </w:tc>
        <w:tc>
          <w:tcPr>
            <w:tcW w:w="16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22"/>
        </w:trPr>
        <w:tc>
          <w:tcPr>
            <w:tcW w:w="5760" w:type="dxa"/>
            <w:vAlign w:val="bottom"/>
          </w:tcPr>
          <w:p>
            <w:pPr>
              <w:ind w:left="120"/>
              <w:spacing w:after="0"/>
              <w:rPr>
                <w:sz w:val="20"/>
                <w:szCs w:val="20"/>
                <w:color w:val="auto"/>
              </w:rPr>
            </w:pPr>
            <w:r>
              <w:rPr>
                <w:rFonts w:ascii="Arial" w:cs="Arial" w:eastAsia="Arial" w:hAnsi="Arial"/>
                <w:sz w:val="16"/>
                <w:szCs w:val="16"/>
                <w:color w:val="auto"/>
              </w:rPr>
              <w:t>United Kingdom</w:t>
            </w:r>
          </w:p>
        </w:tc>
        <w:tc>
          <w:tcPr>
            <w:tcW w:w="38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30"/>
        </w:trPr>
        <w:tc>
          <w:tcPr>
            <w:tcW w:w="5760" w:type="dxa"/>
            <w:vAlign w:val="bottom"/>
            <w:tcBorders>
              <w:bottom w:val="single" w:sz="8" w:color="auto"/>
            </w:tcBorders>
            <w:shd w:val="clear" w:color="auto" w:fill="E4E4E4"/>
          </w:tcPr>
          <w:p>
            <w:pPr>
              <w:ind w:left="120"/>
              <w:spacing w:after="0"/>
              <w:rPr>
                <w:sz w:val="20"/>
                <w:szCs w:val="20"/>
                <w:color w:val="auto"/>
              </w:rPr>
            </w:pPr>
            <w:r>
              <w:rPr>
                <w:rFonts w:ascii="Arial" w:cs="Arial" w:eastAsia="Arial" w:hAnsi="Arial"/>
                <w:sz w:val="16"/>
                <w:szCs w:val="16"/>
                <w:color w:val="auto"/>
              </w:rPr>
              <w:t>Other</w:t>
            </w:r>
          </w:p>
        </w:tc>
        <w:tc>
          <w:tcPr>
            <w:tcW w:w="3820" w:type="dxa"/>
            <w:vAlign w:val="bottom"/>
            <w:tcBorders>
              <w:bottom w:val="single" w:sz="8" w:color="auto"/>
            </w:tcBorders>
            <w:shd w:val="clear" w:color="auto" w:fill="E4E4E4"/>
          </w:tcPr>
          <w:p>
            <w:pPr>
              <w:spacing w:after="0"/>
              <w:rPr>
                <w:sz w:val="20"/>
                <w:szCs w:val="20"/>
                <w:color w:val="auto"/>
              </w:rPr>
            </w:pPr>
          </w:p>
        </w:tc>
        <w:tc>
          <w:tcPr>
            <w:tcW w:w="16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151</w:t>
            </w:r>
          </w:p>
        </w:tc>
      </w:tr>
      <w:tr>
        <w:trPr>
          <w:trHeight w:val="226"/>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paid during the year for income taxes</w:t>
            </w:r>
          </w:p>
        </w:tc>
        <w:tc>
          <w:tcPr>
            <w:tcW w:w="382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b w:val="1"/>
                <w:bCs w:val="1"/>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429</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SHAREHOLDERS' EQUITY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60" w:type="dxa"/>
            <w:vAlign w:val="bottom"/>
          </w:tcPr>
          <w:p>
            <w:pPr>
              <w:spacing w:after="0"/>
              <w:rPr>
                <w:sz w:val="20"/>
                <w:szCs w:val="20"/>
                <w:color w:val="auto"/>
              </w:rPr>
            </w:pPr>
            <w:r>
              <w:rPr>
                <w:rFonts w:ascii="Arial" w:cs="Arial" w:eastAsia="Arial" w:hAnsi="Arial"/>
                <w:sz w:val="16"/>
                <w:szCs w:val="16"/>
                <w:b w:val="1"/>
                <w:bCs w:val="1"/>
                <w:color w:val="auto"/>
              </w:rPr>
              <w:t xml:space="preserve">ACCUMULATED OTHER COMPREHENSIVE INCOME (LOSS) </w:t>
            </w:r>
            <w:r>
              <w:rPr>
                <w:rFonts w:ascii="Arial" w:cs="Arial" w:eastAsia="Arial" w:hAnsi="Arial"/>
                <w:sz w:val="16"/>
                <w:szCs w:val="16"/>
                <w:color w:val="auto"/>
              </w:rPr>
              <w:t>–</w:t>
            </w:r>
            <w:r>
              <w:rPr>
                <w:rFonts w:ascii="Arial" w:cs="Arial" w:eastAsia="Arial" w:hAnsi="Arial"/>
                <w:sz w:val="16"/>
                <w:szCs w:val="16"/>
                <w:b w:val="1"/>
                <w:bCs w:val="1"/>
                <w:color w:val="auto"/>
              </w:rPr>
              <w:t xml:space="preserve"> NET.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24"/>
        </w:trPr>
        <w:tc>
          <w:tcPr>
            <w:tcW w:w="6660" w:type="dxa"/>
            <w:vAlign w:val="bottom"/>
          </w:tcPr>
          <w:p>
            <w:pPr>
              <w:spacing w:after="0"/>
              <w:rPr>
                <w:sz w:val="20"/>
                <w:szCs w:val="20"/>
                <w:color w:val="auto"/>
              </w:rPr>
            </w:pPr>
            <w:r>
              <w:rPr>
                <w:rFonts w:ascii="Arial" w:cs="Arial" w:eastAsia="Arial" w:hAnsi="Arial"/>
                <w:sz w:val="16"/>
                <w:szCs w:val="16"/>
                <w:color w:val="auto"/>
              </w:rPr>
              <w:t>Changes in AOCI by component were as follows.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1"/>
        </w:trPr>
        <w:tc>
          <w:tcPr>
            <w:tcW w:w="6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454545"/>
              </w:rPr>
              <w:t>Pension and</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03"/>
        </w:trPr>
        <w:tc>
          <w:tcPr>
            <w:tcW w:w="6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454545"/>
              </w:rPr>
              <w:t>Currency</w:t>
            </w:r>
          </w:p>
        </w:tc>
        <w:tc>
          <w:tcPr>
            <w:tcW w:w="120" w:type="dxa"/>
            <w:vAlign w:val="bottom"/>
          </w:tcPr>
          <w:p>
            <w:pPr>
              <w:spacing w:after="0"/>
              <w:rPr>
                <w:sz w:val="17"/>
                <w:szCs w:val="17"/>
                <w:color w:val="auto"/>
              </w:rPr>
            </w:pPr>
          </w:p>
        </w:tc>
        <w:tc>
          <w:tcPr>
            <w:tcW w:w="1080" w:type="dxa"/>
            <w:vAlign w:val="bottom"/>
          </w:tcPr>
          <w:p>
            <w:pPr>
              <w:jc w:val="center"/>
              <w:ind w:right="19"/>
              <w:spacing w:after="0"/>
              <w:rPr>
                <w:sz w:val="20"/>
                <w:szCs w:val="20"/>
                <w:color w:val="auto"/>
              </w:rPr>
            </w:pPr>
            <w:r>
              <w:rPr>
                <w:rFonts w:ascii="Arial" w:cs="Arial" w:eastAsia="Arial" w:hAnsi="Arial"/>
                <w:sz w:val="16"/>
                <w:szCs w:val="16"/>
                <w:b w:val="1"/>
                <w:bCs w:val="1"/>
                <w:color w:val="454545"/>
                <w:w w:val="98"/>
              </w:rPr>
              <w:t>Other</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6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b w:val="1"/>
                <w:bCs w:val="1"/>
                <w:color w:val="454545"/>
              </w:rPr>
              <w:t>translation</w:t>
            </w:r>
          </w:p>
        </w:tc>
        <w:tc>
          <w:tcPr>
            <w:tcW w:w="12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Postretirement</w:t>
            </w:r>
          </w:p>
        </w:tc>
        <w:tc>
          <w:tcPr>
            <w:tcW w:w="140" w:type="dxa"/>
            <w:vAlign w:val="bottom"/>
          </w:tcPr>
          <w:p>
            <w:pPr>
              <w:spacing w:after="0"/>
              <w:rPr>
                <w:sz w:val="17"/>
                <w:szCs w:val="17"/>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b w:val="1"/>
                <w:bCs w:val="1"/>
                <w:color w:val="454545"/>
              </w:rPr>
              <w:t>Cash flow</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44"/>
        </w:trPr>
        <w:tc>
          <w:tcPr>
            <w:tcW w:w="6660" w:type="dxa"/>
            <w:vAlign w:val="bottom"/>
            <w:tcBorders>
              <w:bottom w:val="single" w:sz="8" w:color="6022A6"/>
            </w:tcBorders>
          </w:tcPr>
          <w:p>
            <w:pPr>
              <w:spacing w:after="0"/>
              <w:rPr>
                <w:sz w:val="21"/>
                <w:szCs w:val="21"/>
                <w:color w:val="auto"/>
              </w:rPr>
            </w:pPr>
          </w:p>
        </w:tc>
        <w:tc>
          <w:tcPr>
            <w:tcW w:w="1180" w:type="dxa"/>
            <w:vAlign w:val="bottom"/>
            <w:tcBorders>
              <w:bottom w:val="single" w:sz="8" w:color="6022A6"/>
            </w:tcBorders>
            <w:gridSpan w:val="2"/>
          </w:tcPr>
          <w:p>
            <w:pPr>
              <w:ind w:left="60"/>
              <w:spacing w:after="0"/>
              <w:rPr>
                <w:sz w:val="20"/>
                <w:szCs w:val="20"/>
                <w:color w:val="auto"/>
              </w:rPr>
            </w:pPr>
            <w:r>
              <w:rPr>
                <w:rFonts w:ascii="Arial" w:cs="Arial" w:eastAsia="Arial" w:hAnsi="Arial"/>
                <w:sz w:val="16"/>
                <w:szCs w:val="16"/>
                <w:b w:val="1"/>
                <w:bCs w:val="1"/>
                <w:color w:val="454545"/>
                <w:w w:val="98"/>
              </w:rPr>
              <w:t>adjustments</w:t>
            </w:r>
            <w:r>
              <w:rPr>
                <w:rFonts w:ascii="Arial" w:cs="Arial" w:eastAsia="Arial" w:hAnsi="Arial"/>
                <w:sz w:val="21"/>
                <w:szCs w:val="21"/>
                <w:b w:val="1"/>
                <w:bCs w:val="1"/>
                <w:color w:val="454545"/>
                <w:w w:val="98"/>
                <w:vertAlign w:val="superscript"/>
              </w:rPr>
              <w:t>(1)</w:t>
            </w:r>
          </w:p>
        </w:tc>
        <w:tc>
          <w:tcPr>
            <w:tcW w:w="120" w:type="dxa"/>
            <w:vAlign w:val="bottom"/>
            <w:tcBorders>
              <w:bottom w:val="single" w:sz="8" w:color="6022A6"/>
            </w:tcBorders>
          </w:tcPr>
          <w:p>
            <w:pPr>
              <w:spacing w:after="0"/>
              <w:rPr>
                <w:sz w:val="21"/>
                <w:szCs w:val="21"/>
                <w:color w:val="auto"/>
              </w:rPr>
            </w:pPr>
          </w:p>
        </w:tc>
        <w:tc>
          <w:tcPr>
            <w:tcW w:w="1080" w:type="dxa"/>
            <w:vAlign w:val="bottom"/>
            <w:tcBorders>
              <w:bottom w:val="single" w:sz="8" w:color="6022A6"/>
            </w:tcBorders>
          </w:tcPr>
          <w:p>
            <w:pPr>
              <w:jc w:val="center"/>
              <w:ind w:right="19"/>
              <w:spacing w:after="0"/>
              <w:rPr>
                <w:sz w:val="20"/>
                <w:szCs w:val="20"/>
                <w:color w:val="auto"/>
              </w:rPr>
            </w:pPr>
            <w:r>
              <w:rPr>
                <w:rFonts w:ascii="Arial" w:cs="Arial" w:eastAsia="Arial" w:hAnsi="Arial"/>
                <w:sz w:val="16"/>
                <w:szCs w:val="16"/>
                <w:b w:val="1"/>
                <w:bCs w:val="1"/>
                <w:color w:val="454545"/>
                <w:w w:val="98"/>
              </w:rPr>
              <w:t>Plans</w:t>
            </w:r>
          </w:p>
        </w:tc>
        <w:tc>
          <w:tcPr>
            <w:tcW w:w="140" w:type="dxa"/>
            <w:vAlign w:val="bottom"/>
            <w:tcBorders>
              <w:bottom w:val="single" w:sz="8" w:color="6022A6"/>
            </w:tcBorders>
          </w:tcPr>
          <w:p>
            <w:pPr>
              <w:spacing w:after="0"/>
              <w:rPr>
                <w:sz w:val="21"/>
                <w:szCs w:val="21"/>
                <w:color w:val="auto"/>
              </w:rPr>
            </w:pPr>
          </w:p>
        </w:tc>
        <w:tc>
          <w:tcPr>
            <w:tcW w:w="960" w:type="dxa"/>
            <w:vAlign w:val="bottom"/>
            <w:tcBorders>
              <w:bottom w:val="single" w:sz="8" w:color="6022A6"/>
            </w:tcBorders>
          </w:tcPr>
          <w:p>
            <w:pPr>
              <w:jc w:val="right"/>
              <w:ind w:right="179"/>
              <w:spacing w:after="0"/>
              <w:rPr>
                <w:sz w:val="20"/>
                <w:szCs w:val="20"/>
                <w:color w:val="auto"/>
              </w:rPr>
            </w:pPr>
            <w:r>
              <w:rPr>
                <w:rFonts w:ascii="Arial" w:cs="Arial" w:eastAsia="Arial" w:hAnsi="Arial"/>
                <w:sz w:val="16"/>
                <w:szCs w:val="16"/>
                <w:b w:val="1"/>
                <w:bCs w:val="1"/>
                <w:color w:val="454545"/>
              </w:rPr>
              <w:t>hedges</w:t>
            </w:r>
          </w:p>
        </w:tc>
        <w:tc>
          <w:tcPr>
            <w:tcW w:w="12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right"/>
              <w:ind w:right="59"/>
              <w:spacing w:after="0"/>
              <w:rPr>
                <w:sz w:val="20"/>
                <w:szCs w:val="20"/>
                <w:color w:val="auto"/>
              </w:rPr>
            </w:pPr>
            <w:r>
              <w:rPr>
                <w:rFonts w:ascii="Arial" w:cs="Arial" w:eastAsia="Arial" w:hAnsi="Arial"/>
                <w:sz w:val="16"/>
                <w:szCs w:val="16"/>
                <w:b w:val="1"/>
                <w:bCs w:val="1"/>
                <w:color w:val="454545"/>
                <w:w w:val="99"/>
              </w:rPr>
              <w:t>Total AOCI</w:t>
            </w:r>
          </w:p>
        </w:tc>
      </w:tr>
      <w:tr>
        <w:trPr>
          <w:trHeight w:val="255"/>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(1,845)</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(1,878)</w:t>
            </w:r>
          </w:p>
        </w:tc>
      </w:tr>
      <w:tr>
        <w:trPr>
          <w:trHeight w:val="209"/>
        </w:trPr>
        <w:tc>
          <w:tcPr>
            <w:tcW w:w="6660" w:type="dxa"/>
            <w:vAlign w:val="bottom"/>
            <w:tcBorders>
              <w:top w:val="single" w:sz="8" w:color="auto"/>
            </w:tcBorders>
          </w:tcPr>
          <w:p>
            <w:pPr>
              <w:ind w:left="20"/>
              <w:spacing w:after="0" w:line="209" w:lineRule="exact"/>
              <w:rPr>
                <w:sz w:val="20"/>
                <w:szCs w:val="20"/>
                <w:color w:val="auto"/>
              </w:rPr>
            </w:pPr>
            <w:r>
              <w:rPr>
                <w:rFonts w:ascii="Arial" w:cs="Arial" w:eastAsia="Arial" w:hAnsi="Arial"/>
                <w:sz w:val="16"/>
                <w:szCs w:val="16"/>
                <w:color w:val="auto"/>
              </w:rPr>
              <w:t>Other comprehensive income (loss) before reclassifications – net of taxes</w:t>
            </w:r>
            <w:r>
              <w:rPr>
                <w:rFonts w:ascii="Arial" w:cs="Arial" w:eastAsia="Arial" w:hAnsi="Arial"/>
                <w:sz w:val="21"/>
                <w:szCs w:val="21"/>
                <w:color w:val="auto"/>
                <w:vertAlign w:val="superscript"/>
              </w:rPr>
              <w:t>(2)</w:t>
            </w:r>
            <w:r>
              <w:rPr>
                <w:rFonts w:ascii="Arial" w:cs="Arial" w:eastAsia="Arial" w:hAnsi="Arial"/>
                <w:sz w:val="16"/>
                <w:szCs w:val="16"/>
                <w:color w:val="auto"/>
              </w:rPr>
              <w:t xml:space="preserve"> of $22, $186,</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and $1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(601)</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(532)</w:t>
            </w:r>
          </w:p>
        </w:tc>
      </w:tr>
      <w:tr>
        <w:trPr>
          <w:trHeight w:val="29"/>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66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of $—, $97, and $6</w:t>
            </w:r>
          </w:p>
        </w:tc>
        <w:tc>
          <w:tcPr>
            <w:tcW w:w="160" w:type="dxa"/>
            <w:vAlign w:val="bottom"/>
            <w:tcBorders>
              <w:bottom w:val="single" w:sz="8" w:color="auto"/>
            </w:tcBorders>
            <w:shd w:val="clear" w:color="auto" w:fill="E4E4E4"/>
          </w:tcPr>
          <w:p>
            <w:pPr>
              <w:spacing w:after="0"/>
              <w:rPr>
                <w:sz w:val="22"/>
                <w:szCs w:val="22"/>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E4E4E4"/>
          </w:tcPr>
          <w:p>
            <w:pPr>
              <w:spacing w:after="0"/>
              <w:rPr>
                <w:sz w:val="22"/>
                <w:szCs w:val="22"/>
                <w:color w:val="auto"/>
              </w:rPr>
            </w:pP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(296)</w:t>
            </w:r>
          </w:p>
        </w:tc>
        <w:tc>
          <w:tcPr>
            <w:tcW w:w="140" w:type="dxa"/>
            <w:vAlign w:val="bottom"/>
            <w:tcBorders>
              <w:bottom w:val="single" w:sz="8" w:color="auto"/>
            </w:tcBorders>
            <w:shd w:val="clear" w:color="auto" w:fill="E4E4E4"/>
          </w:tcPr>
          <w:p>
            <w:pPr>
              <w:spacing w:after="0"/>
              <w:rPr>
                <w:sz w:val="22"/>
                <w:szCs w:val="22"/>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auto"/>
            </w:tcBorders>
            <w:shd w:val="clear" w:color="auto" w:fill="E4E4E4"/>
          </w:tcPr>
          <w:p>
            <w:pPr>
              <w:spacing w:after="0"/>
              <w:rPr>
                <w:sz w:val="22"/>
                <w:szCs w:val="22"/>
                <w:color w:val="auto"/>
              </w:rPr>
            </w:pPr>
          </w:p>
        </w:tc>
        <w:tc>
          <w:tcPr>
            <w:tcW w:w="9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(318)</w:t>
            </w:r>
          </w:p>
        </w:tc>
      </w:tr>
      <w:tr>
        <w:trPr>
          <w:trHeight w:val="229"/>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(897)</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(850)</w:t>
            </w:r>
          </w:p>
        </w:tc>
      </w:tr>
      <w:tr>
        <w:trPr>
          <w:trHeight w:val="21"/>
        </w:trPr>
        <w:tc>
          <w:tcPr>
            <w:tcW w:w="6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6660" w:type="dxa"/>
            <w:vAlign w:val="bottom"/>
            <w:shd w:val="clear" w:color="auto" w:fill="E4E4E4"/>
          </w:tcPr>
          <w:p>
            <w:pPr>
              <w:ind w:left="20"/>
              <w:spacing w:after="0"/>
              <w:rPr>
                <w:sz w:val="20"/>
                <w:szCs w:val="20"/>
                <w:color w:val="auto"/>
              </w:rPr>
            </w:pPr>
            <w:r>
              <w:rPr>
                <w:rFonts w:ascii="Arial" w:cs="Arial" w:eastAsia="Arial" w:hAnsi="Arial"/>
                <w:sz w:val="16"/>
                <w:szCs w:val="16"/>
                <w:color w:val="auto"/>
              </w:rPr>
              <w:t>Spin-Off related adjustments – net of taxes</w:t>
            </w:r>
            <w:r>
              <w:rPr>
                <w:rFonts w:ascii="Arial" w:cs="Arial" w:eastAsia="Arial" w:hAnsi="Arial"/>
                <w:sz w:val="21"/>
                <w:szCs w:val="21"/>
                <w:color w:val="auto"/>
                <w:vertAlign w:val="superscript"/>
              </w:rPr>
              <w:t>(4)</w:t>
            </w:r>
            <w:r>
              <w:rPr>
                <w:rFonts w:ascii="Arial" w:cs="Arial" w:eastAsia="Arial" w:hAnsi="Arial"/>
                <w:sz w:val="16"/>
                <w:szCs w:val="16"/>
                <w:color w:val="auto"/>
              </w:rPr>
              <w:t xml:space="preserve"> of $— $(509), and $—</w:t>
            </w:r>
          </w:p>
        </w:tc>
        <w:tc>
          <w:tcPr>
            <w:tcW w:w="160" w:type="dxa"/>
            <w:vAlign w:val="bottom"/>
            <w:shd w:val="clear" w:color="auto" w:fill="E4E4E4"/>
          </w:tcPr>
          <w:p>
            <w:pPr>
              <w:spacing w:after="0"/>
              <w:rPr>
                <w:sz w:val="21"/>
                <w:szCs w:val="21"/>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E4E4E4"/>
          </w:tcPr>
          <w:p>
            <w:pPr>
              <w:spacing w:after="0"/>
              <w:rPr>
                <w:sz w:val="21"/>
                <w:szCs w:val="21"/>
                <w:color w:val="auto"/>
              </w:rPr>
            </w:pP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1,972</w:t>
            </w:r>
          </w:p>
        </w:tc>
        <w:tc>
          <w:tcPr>
            <w:tcW w:w="140" w:type="dxa"/>
            <w:vAlign w:val="bottom"/>
            <w:shd w:val="clear" w:color="auto" w:fill="E4E4E4"/>
          </w:tcPr>
          <w:p>
            <w:pPr>
              <w:spacing w:after="0"/>
              <w:rPr>
                <w:sz w:val="21"/>
                <w:szCs w:val="21"/>
                <w:color w:val="auto"/>
              </w:rPr>
            </w:pPr>
          </w:p>
        </w:tc>
        <w:tc>
          <w:tcPr>
            <w:tcW w:w="9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4E4E4"/>
          </w:tcPr>
          <w:p>
            <w:pPr>
              <w:spacing w:after="0"/>
              <w:rPr>
                <w:sz w:val="21"/>
                <w:szCs w:val="21"/>
                <w:color w:val="auto"/>
              </w:rPr>
            </w:pPr>
          </w:p>
        </w:tc>
        <w:tc>
          <w:tcPr>
            <w:tcW w:w="9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2,000</w:t>
            </w:r>
          </w:p>
        </w:tc>
      </w:tr>
      <w:tr>
        <w:trPr>
          <w:trHeight w:val="228"/>
        </w:trPr>
        <w:tc>
          <w:tcPr>
            <w:tcW w:w="6660" w:type="dxa"/>
            <w:vAlign w:val="bottom"/>
          </w:tcPr>
          <w:p>
            <w:pPr>
              <w:ind w:left="20"/>
              <w:spacing w:after="0"/>
              <w:rPr>
                <w:sz w:val="20"/>
                <w:szCs w:val="20"/>
                <w:color w:val="auto"/>
              </w:rPr>
            </w:pPr>
            <w:r>
              <w:rPr>
                <w:rFonts w:ascii="Arial" w:cs="Arial" w:eastAsia="Arial" w:hAnsi="Arial"/>
                <w:sz w:val="16"/>
                <w:szCs w:val="16"/>
                <w:color w:val="auto"/>
              </w:rPr>
              <w:t>Less: Other comprehensive income (loss) attributable to noncontrolling interests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r>
      <w:tr>
        <w:trPr>
          <w:trHeight w:val="29"/>
        </w:trPr>
        <w:tc>
          <w:tcPr>
            <w:tcW w:w="6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5"/>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2023</w:t>
            </w:r>
          </w:p>
        </w:tc>
        <w:tc>
          <w:tcPr>
            <w:tcW w:w="16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(1,706)</w:t>
            </w:r>
          </w:p>
        </w:tc>
        <w:tc>
          <w:tcPr>
            <w:tcW w:w="1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1,033</w:t>
            </w:r>
          </w:p>
        </w:tc>
        <w:tc>
          <w:tcPr>
            <w:tcW w:w="140" w:type="dxa"/>
            <w:vAlign w:val="bottom"/>
            <w:tcBorders>
              <w:bottom w:val="single" w:sz="8" w:color="E4E4E4"/>
            </w:tcBorders>
            <w:shd w:val="clear" w:color="auto" w:fill="E4E4E4"/>
          </w:tcPr>
          <w:p>
            <w:pPr>
              <w:spacing w:after="0"/>
              <w:rPr>
                <w:sz w:val="21"/>
                <w:szCs w:val="21"/>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(691)</w:t>
            </w:r>
          </w:p>
        </w:tc>
      </w:tr>
      <w:tr>
        <w:trPr>
          <w:trHeight w:val="209"/>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 of $(19), $93, and</w:t>
            </w: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r>
      <w:tr>
        <w:trPr>
          <w:trHeight w:val="215"/>
        </w:trPr>
        <w:tc>
          <w:tcPr>
            <w:tcW w:w="6660" w:type="dxa"/>
            <w:vAlign w:val="bottom"/>
          </w:tcPr>
          <w:p>
            <w:pPr>
              <w:ind w:left="20"/>
              <w:spacing w:after="0"/>
              <w:rPr>
                <w:sz w:val="20"/>
                <w:szCs w:val="20"/>
                <w:color w:val="auto"/>
              </w:rPr>
            </w:pPr>
            <w:r>
              <w:rPr>
                <w:rFonts w:ascii="Arial" w:cs="Arial" w:eastAsia="Arial" w:hAnsi="Arial"/>
                <w:sz w:val="16"/>
                <w:szCs w:val="16"/>
                <w:color w:val="auto"/>
              </w:rPr>
              <w:t>$(11)</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(271)</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(306)</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(545)</w:t>
            </w:r>
          </w:p>
        </w:tc>
      </w:tr>
      <w:tr>
        <w:trPr>
          <w:trHeight w:val="29"/>
        </w:trPr>
        <w:tc>
          <w:tcPr>
            <w:tcW w:w="6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7"/>
        </w:trPr>
        <w:tc>
          <w:tcPr>
            <w:tcW w:w="666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of $—, $44, and $(1)</w:t>
            </w:r>
          </w:p>
        </w:tc>
        <w:tc>
          <w:tcPr>
            <w:tcW w:w="160" w:type="dxa"/>
            <w:vAlign w:val="bottom"/>
            <w:tcBorders>
              <w:bottom w:val="single" w:sz="8" w:color="auto"/>
            </w:tcBorders>
            <w:shd w:val="clear" w:color="auto" w:fill="E4E4E4"/>
          </w:tcPr>
          <w:p>
            <w:pPr>
              <w:spacing w:after="0"/>
              <w:rPr>
                <w:sz w:val="22"/>
                <w:szCs w:val="22"/>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E4E4E4"/>
          </w:tcPr>
          <w:p>
            <w:pPr>
              <w:spacing w:after="0"/>
              <w:rPr>
                <w:sz w:val="22"/>
                <w:szCs w:val="22"/>
                <w:color w:val="auto"/>
              </w:rPr>
            </w:pP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(150)</w:t>
            </w:r>
          </w:p>
        </w:tc>
        <w:tc>
          <w:tcPr>
            <w:tcW w:w="140" w:type="dxa"/>
            <w:vAlign w:val="bottom"/>
            <w:tcBorders>
              <w:bottom w:val="single" w:sz="8" w:color="auto"/>
            </w:tcBorders>
            <w:shd w:val="clear" w:color="auto" w:fill="E4E4E4"/>
          </w:tcPr>
          <w:p>
            <w:pPr>
              <w:spacing w:after="0"/>
              <w:rPr>
                <w:sz w:val="22"/>
                <w:szCs w:val="22"/>
                <w:color w:val="auto"/>
              </w:rPr>
            </w:pPr>
          </w:p>
        </w:tc>
        <w:tc>
          <w:tcPr>
            <w:tcW w:w="9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shd w:val="clear" w:color="auto" w:fill="E4E4E4"/>
          </w:tcPr>
          <w:p>
            <w:pPr>
              <w:spacing w:after="0"/>
              <w:rPr>
                <w:sz w:val="22"/>
                <w:szCs w:val="22"/>
                <w:color w:val="auto"/>
              </w:rPr>
            </w:pPr>
          </w:p>
        </w:tc>
        <w:tc>
          <w:tcPr>
            <w:tcW w:w="9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(147)</w:t>
            </w:r>
          </w:p>
        </w:tc>
      </w:tr>
      <w:tr>
        <w:trPr>
          <w:trHeight w:val="229"/>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(271)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(456)</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36</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(691)</w:t>
            </w:r>
          </w:p>
        </w:tc>
      </w:tr>
      <w:tr>
        <w:trPr>
          <w:trHeight w:val="21"/>
        </w:trPr>
        <w:tc>
          <w:tcPr>
            <w:tcW w:w="6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5"/>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Less: Other comprehensive income (loss) attributable to noncontrolling interests</w:t>
            </w:r>
          </w:p>
        </w:tc>
        <w:tc>
          <w:tcPr>
            <w:tcW w:w="16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2024</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(1,973)</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576</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(1,379)</w:t>
            </w:r>
          </w:p>
        </w:tc>
      </w:tr>
      <w:tr>
        <w:trPr>
          <w:trHeight w:val="21"/>
        </w:trPr>
        <w:tc>
          <w:tcPr>
            <w:tcW w:w="6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9"/>
        </w:trPr>
        <w:tc>
          <w:tcPr>
            <w:tcW w:w="6660" w:type="dxa"/>
            <w:vAlign w:val="bottom"/>
            <w:shd w:val="clear" w:color="auto" w:fill="E4E4E4"/>
          </w:tcPr>
          <w:p>
            <w:pPr>
              <w:ind w:left="20"/>
              <w:spacing w:after="0"/>
              <w:rPr>
                <w:sz w:val="20"/>
                <w:szCs w:val="20"/>
                <w:color w:val="auto"/>
              </w:rPr>
            </w:pPr>
            <w:r>
              <w:rPr>
                <w:rFonts w:ascii="Arial" w:cs="Arial" w:eastAsia="Arial" w:hAnsi="Arial"/>
                <w:sz w:val="16"/>
                <w:szCs w:val="16"/>
                <w:color w:val="auto"/>
              </w:rPr>
              <w:t>Other comprehensive income (loss) before reclassifications – net of taxes of $60, $74, and</w:t>
            </w:r>
          </w:p>
        </w:tc>
        <w:tc>
          <w:tcPr>
            <w:tcW w:w="160" w:type="dxa"/>
            <w:vAlign w:val="bottom"/>
            <w:shd w:val="clear" w:color="auto" w:fill="E4E4E4"/>
          </w:tcPr>
          <w:p>
            <w:pPr>
              <w:spacing w:after="0"/>
              <w:rPr>
                <w:sz w:val="18"/>
                <w:szCs w:val="18"/>
                <w:color w:val="auto"/>
              </w:rPr>
            </w:pPr>
          </w:p>
        </w:tc>
        <w:tc>
          <w:tcPr>
            <w:tcW w:w="102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1080" w:type="dxa"/>
            <w:vAlign w:val="bottom"/>
            <w:shd w:val="clear" w:color="auto" w:fill="E4E4E4"/>
          </w:tcPr>
          <w:p>
            <w:pPr>
              <w:spacing w:after="0"/>
              <w:rPr>
                <w:sz w:val="18"/>
                <w:szCs w:val="18"/>
                <w:color w:val="auto"/>
              </w:rPr>
            </w:pPr>
          </w:p>
        </w:tc>
        <w:tc>
          <w:tcPr>
            <w:tcW w:w="140" w:type="dxa"/>
            <w:vAlign w:val="bottom"/>
            <w:shd w:val="clear" w:color="auto" w:fill="E4E4E4"/>
          </w:tcPr>
          <w:p>
            <w:pPr>
              <w:spacing w:after="0"/>
              <w:rPr>
                <w:sz w:val="18"/>
                <w:szCs w:val="18"/>
                <w:color w:val="auto"/>
              </w:rPr>
            </w:pPr>
          </w:p>
        </w:tc>
        <w:tc>
          <w:tcPr>
            <w:tcW w:w="960" w:type="dxa"/>
            <w:vAlign w:val="bottom"/>
            <w:shd w:val="clear" w:color="auto" w:fill="E4E4E4"/>
          </w:tcPr>
          <w:p>
            <w:pPr>
              <w:spacing w:after="0"/>
              <w:rPr>
                <w:sz w:val="18"/>
                <w:szCs w:val="18"/>
                <w:color w:val="auto"/>
              </w:rPr>
            </w:pPr>
          </w:p>
        </w:tc>
        <w:tc>
          <w:tcPr>
            <w:tcW w:w="120" w:type="dxa"/>
            <w:vAlign w:val="bottom"/>
            <w:shd w:val="clear" w:color="auto" w:fill="E4E4E4"/>
          </w:tcPr>
          <w:p>
            <w:pPr>
              <w:spacing w:after="0"/>
              <w:rPr>
                <w:sz w:val="18"/>
                <w:szCs w:val="18"/>
                <w:color w:val="auto"/>
              </w:rPr>
            </w:pPr>
          </w:p>
        </w:tc>
        <w:tc>
          <w:tcPr>
            <w:tcW w:w="980" w:type="dxa"/>
            <w:vAlign w:val="bottom"/>
            <w:shd w:val="clear" w:color="auto" w:fill="E4E4E4"/>
          </w:tcPr>
          <w:p>
            <w:pPr>
              <w:spacing w:after="0"/>
              <w:rPr>
                <w:sz w:val="18"/>
                <w:szCs w:val="18"/>
                <w:color w:val="auto"/>
              </w:rPr>
            </w:pPr>
          </w:p>
        </w:tc>
      </w:tr>
      <w:tr>
        <w:trPr>
          <w:trHeight w:val="224"/>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E4E4E4"/>
            </w:tcBorders>
            <w:shd w:val="clear" w:color="auto" w:fill="E4E4E4"/>
          </w:tcPr>
          <w:p>
            <w:pPr>
              <w:spacing w:after="0"/>
              <w:rPr>
                <w:sz w:val="19"/>
                <w:szCs w:val="19"/>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E4E4E4"/>
            </w:tcBorders>
            <w:shd w:val="clear" w:color="auto" w:fill="E4E4E4"/>
          </w:tcPr>
          <w:p>
            <w:pPr>
              <w:spacing w:after="0"/>
              <w:rPr>
                <w:sz w:val="19"/>
                <w:szCs w:val="19"/>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(259)</w:t>
            </w:r>
          </w:p>
        </w:tc>
        <w:tc>
          <w:tcPr>
            <w:tcW w:w="140" w:type="dxa"/>
            <w:vAlign w:val="bottom"/>
            <w:tcBorders>
              <w:bottom w:val="single" w:sz="8" w:color="E4E4E4"/>
            </w:tcBorders>
            <w:shd w:val="clear" w:color="auto" w:fill="E4E4E4"/>
          </w:tcPr>
          <w:p>
            <w:pPr>
              <w:spacing w:after="0"/>
              <w:rPr>
                <w:sz w:val="19"/>
                <w:szCs w:val="19"/>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E4E4E4"/>
            </w:tcBorders>
            <w:shd w:val="clear" w:color="auto" w:fill="E4E4E4"/>
          </w:tcPr>
          <w:p>
            <w:pPr>
              <w:spacing w:after="0"/>
              <w:rPr>
                <w:sz w:val="19"/>
                <w:szCs w:val="19"/>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101</w:t>
            </w:r>
          </w:p>
        </w:tc>
      </w:tr>
      <w:tr>
        <w:trPr>
          <w:trHeight w:val="257"/>
        </w:trPr>
        <w:tc>
          <w:tcPr>
            <w:tcW w:w="6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Reclassifications from AOCI – net of taxes</w:t>
            </w:r>
            <w:r>
              <w:rPr>
                <w:rFonts w:ascii="Arial" w:cs="Arial" w:eastAsia="Arial" w:hAnsi="Arial"/>
                <w:sz w:val="21"/>
                <w:szCs w:val="21"/>
                <w:color w:val="auto"/>
                <w:vertAlign w:val="superscript"/>
              </w:rPr>
              <w:t>(3)(5)</w:t>
            </w:r>
            <w:r>
              <w:rPr>
                <w:rFonts w:ascii="Arial" w:cs="Arial" w:eastAsia="Arial" w:hAnsi="Arial"/>
                <w:sz w:val="16"/>
                <w:szCs w:val="16"/>
                <w:color w:val="auto"/>
              </w:rPr>
              <w:t xml:space="preserve"> of $—, $50, and $2</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r>
      <w:tr>
        <w:trPr>
          <w:trHeight w:val="255"/>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bottom w:val="single" w:sz="8" w:color="E4E4E4"/>
            </w:tcBorders>
            <w:shd w:val="clear" w:color="auto" w:fill="E4E4E4"/>
          </w:tcPr>
          <w:p>
            <w:pPr>
              <w:spacing w:after="0"/>
              <w:rPr>
                <w:sz w:val="21"/>
                <w:szCs w:val="21"/>
                <w:color w:val="auto"/>
              </w:rPr>
            </w:pP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418</w:t>
            </w:r>
          </w:p>
        </w:tc>
        <w:tc>
          <w:tcPr>
            <w:tcW w:w="120" w:type="dxa"/>
            <w:vAlign w:val="bottom"/>
            <w:tcBorders>
              <w:bottom w:val="single" w:sz="8" w:color="E4E4E4"/>
            </w:tcBorders>
            <w:shd w:val="clear" w:color="auto" w:fill="E4E4E4"/>
          </w:tcPr>
          <w:p>
            <w:pPr>
              <w:spacing w:after="0"/>
              <w:rPr>
                <w:sz w:val="21"/>
                <w:szCs w:val="21"/>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(422)</w:t>
            </w:r>
          </w:p>
        </w:tc>
        <w:tc>
          <w:tcPr>
            <w:tcW w:w="140" w:type="dxa"/>
            <w:vAlign w:val="bottom"/>
            <w:tcBorders>
              <w:bottom w:val="single" w:sz="8" w:color="E4E4E4"/>
            </w:tcBorders>
            <w:shd w:val="clear" w:color="auto" w:fill="E4E4E4"/>
          </w:tcPr>
          <w:p>
            <w:pPr>
              <w:spacing w:after="0"/>
              <w:rPr>
                <w:sz w:val="21"/>
                <w:szCs w:val="21"/>
                <w:color w:val="auto"/>
              </w:rPr>
            </w:pP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w:t>
            </w:r>
          </w:p>
        </w:tc>
      </w:tr>
      <w:tr>
        <w:trPr>
          <w:trHeight w:val="221"/>
        </w:trPr>
        <w:tc>
          <w:tcPr>
            <w:tcW w:w="66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Less: Other comprehensive income (loss) attributable to noncontrolling interests</w:t>
            </w: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9"/>
        </w:trPr>
        <w:tc>
          <w:tcPr>
            <w:tcW w:w="6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66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December 31, 2025</w:t>
            </w:r>
          </w:p>
        </w:tc>
        <w:tc>
          <w:tcPr>
            <w:tcW w:w="160" w:type="dxa"/>
            <w:vAlign w:val="bottom"/>
            <w:tcBorders>
              <w:bottom w:val="single" w:sz="8" w:color="E4E4E4"/>
            </w:tcBorders>
            <w:shd w:val="clear" w:color="auto" w:fill="E4E4E4"/>
          </w:tcPr>
          <w:p>
            <w:pPr>
              <w:ind w:left="40"/>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(1,548)</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158</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(1,388)</w:t>
            </w:r>
          </w:p>
        </w:tc>
      </w:tr>
      <w:tr>
        <w:trPr>
          <w:trHeight w:val="20"/>
        </w:trPr>
        <w:tc>
          <w:tcPr>
            <w:tcW w:w="6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260" w:hanging="252"/>
        <w:spacing w:after="0" w:line="256" w:lineRule="auto"/>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amount of CTA recognized in Other comprehensive income (loss) (“OCI”) included net gains (losses) relating to net investment hedges, as further discussed in Note 13, “Financial Instruments and Fair Value Measurements.”</w:t>
      </w:r>
    </w:p>
    <w:p>
      <w:pPr>
        <w:spacing w:after="0" w:line="1" w:lineRule="exact"/>
        <w:rPr>
          <w:rFonts w:ascii="Arial" w:cs="Arial" w:eastAsia="Arial" w:hAnsi="Arial"/>
          <w:sz w:val="16"/>
          <w:szCs w:val="16"/>
          <w:color w:val="auto"/>
        </w:rPr>
      </w:pPr>
    </w:p>
    <w:p>
      <w:pPr>
        <w:ind w:left="260" w:right="60" w:hanging="252"/>
        <w:spacing w:after="0" w:line="246" w:lineRule="auto"/>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pre-tax impact to Pension and Other Postretirement Plans of $(305) million for the pension plan amendment and related remeasurement of plan assets and benefit obligations. Refer to Note 10, “Postretirement Benefit Plans” for further information.</w:t>
      </w:r>
    </w:p>
    <w:p>
      <w:pPr>
        <w:ind w:left="260" w:right="80" w:hanging="252"/>
        <w:spacing w:after="0" w:line="246" w:lineRule="auto"/>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Reclassifications from AOCI into earnings for Pension and Other Postretirement Plans are recognized within Non-operating benefit (income) costs, while Cash flow hedges are recognized within Cost of products and Cost of services in our Consolidated Statements of Income.</w:t>
      </w:r>
    </w:p>
    <w:p>
      <w:pPr>
        <w:ind w:left="260" w:right="1000" w:hanging="252"/>
        <w:spacing w:after="0" w:line="261" w:lineRule="auto"/>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Refer to Note 10, “Postretirement Benefit Plans” for further information on the unrecognized gain transferred from the GE pension and other postretirement plans in connection with the Spin-Off.</w:t>
      </w:r>
    </w:p>
    <w:p>
      <w:pPr>
        <w:ind w:left="260" w:right="100" w:hanging="252"/>
        <w:spacing w:after="0" w:line="258" w:lineRule="auto"/>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Includes net of tax impact of $63 million of gains to Currency translation adjustments and $8 million of losses to Pension and Other Postretirement Plans related to the derecognition of the prior NMP equity method investment. Refer to Note 8, “Acquisitions, Goodwill, and Other Intangible Assets” for additional information on the NMP acquisition.</w:t>
      </w:r>
    </w:p>
    <w:p>
      <w:pPr>
        <w:sectPr>
          <w:pgSz w:w="11900" w:h="16838" w:orient="portrait"/>
          <w:cols w:equalWidth="0" w:num="1">
            <w:col w:w="11240"/>
          </w:cols>
          <w:pgMar w:left="320" w:top="130" w:right="339" w:bottom="107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078" w:gutter="0" w:footer="0" w:header="0"/>
          <w:type w:val="continuous"/>
        </w:sectPr>
      </w:pPr>
    </w:p>
    <w:bookmarkStart w:id="90" w:name="page91"/>
    <w:bookmarkEnd w:id="9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REPURCHASES.</w:t>
      </w:r>
    </w:p>
    <w:p>
      <w:pPr>
        <w:spacing w:after="0" w:line="248"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color w:val="auto"/>
        </w:rPr>
        <w:t>On April 30, 2025, our Board of Directors authorized a share repurchase program (the “repurchase program”) for up to $1,000 million of our common stock. The repurchase program does not have an expiration date, does not obligate the Company to acquire any particular amount of common stock, and may be suspended or terminated at any time at the Company's discretion. During the year ended December 31, 2025, we repurchased 2.8 million shares under the repurchase program for total consideration of approximately $200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FINANCIAL INSTRUMENTS AND 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w:t>
      </w:r>
    </w:p>
    <w:p>
      <w:pPr>
        <w:spacing w:after="0" w:line="24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Our primary objective in executing and holding derivative contracts is to reduce the volatility of earnings and cash flows associated with risks related to foreign currency exchange rates, interest rates, and equity prices. These derivative contracts reduce, but do not entirely eliminate, the aforementioned risks. Our policy is to use derivative contracts solely for managing risks and not for speculative purposes.</w:t>
      </w:r>
    </w:p>
    <w:p>
      <w:pPr>
        <w:spacing w:after="0" w:line="205"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The fair values of derivative contracts are recognized within All other current assets, All other non-current assets, All other current liabilities, and All other non-current liabilities in the Consolidated Statements of Financial Position based upon the contractual timing of settlements for these contracts. We designate certain derivative contracts as hedging instruments in cash flow, fair value, or net investment hedges. We evaluate the effectiveness of our derivative contracts designated as hedging instruments on a quarterly basis.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 Hedges</w:t>
      </w:r>
    </w:p>
    <w:p>
      <w:pPr>
        <w:spacing w:after="0" w:line="29" w:lineRule="exact"/>
        <w:rPr>
          <w:sz w:val="20"/>
          <w:szCs w:val="20"/>
          <w:color w:val="auto"/>
        </w:rPr>
      </w:pPr>
    </w:p>
    <w:p>
      <w:pPr>
        <w:ind w:right="360"/>
        <w:spacing w:after="0" w:line="258" w:lineRule="auto"/>
        <w:rPr>
          <w:sz w:val="20"/>
          <w:szCs w:val="20"/>
          <w:color w:val="auto"/>
        </w:rPr>
      </w:pPr>
      <w:r>
        <w:rPr>
          <w:rFonts w:ascii="Arial" w:cs="Arial" w:eastAsia="Arial" w:hAnsi="Arial"/>
          <w:sz w:val="16"/>
          <w:szCs w:val="16"/>
          <w:color w:val="auto"/>
        </w:rPr>
        <w:t>We use foreign currency forward contracts to hedge the volatility of cash flows related to firm commitments and forecasted transactions, including intercompany transactions, denominated in foreign currencies other than a subsidiary’s functional currency. The maximum length of time over which we hedge forecasted transactions is five years. As of December 31, 2025, these contracts have a maximum remaining maturity of 51 months.</w:t>
      </w:r>
    </w:p>
    <w:p>
      <w:pPr>
        <w:spacing w:after="0" w:line="218"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For derivative instruments designated as cash flow hedges, changes in the fair value of designated hedging instruments are initially recorded as a component of AOCI and subsequently reclassified to earnings in the period in which the hedged transaction affects earnings and to the same financial statement line item impacted by the hedged transaction. As of December 31, 2025, we expect to reclassify $7 million of pre-tax net deferred gains associated with designated cash flow hedges to earnings in the next 12 months, contemporaneously with the impact on earnings of the related hedged transactions.</w:t>
      </w:r>
    </w:p>
    <w:p>
      <w:pPr>
        <w:spacing w:after="0" w:line="218"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The cash flows associated with derivatives designated as cash flow hedges are recorded in All other operating activities – net in the Consolidated Statements of Cash Flows.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Net Investment Hedges</w:t>
      </w:r>
    </w:p>
    <w:p>
      <w:pPr>
        <w:spacing w:after="0" w:line="2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use cross-currency interest rate swaps and foreign currency forward contracts in combination with foreign currency option contracts to hedge the foreign currency risk associated with our net investment in foreign operations. As of December 31, 2025, these contracts were designated as hedges of our net investment in foreign operations, primarily in Euro and Chinese Renminbi currencies.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We use the spot method to assess hedge effectiveness for our net investment hedges. Changes in the fair value of the designated hedging instruments attributable to fluctuations in foreign currency to USD spot exchange rates are initially recorded and held as a component of the CTA portion of AOCI until the hedged foreign operation is either sold or substantially liquidated. Changes in fair value of the portion of net investment hedging derivatives excluded from the assessment of effectiveness are recorded in CTA and then recognized within Interest and other financial charges – net in the Consolidated Statements of Income using a systematic and rational method over the life of the hedge. Excluded components on the cross-currency swaps designated as net investment hedges, in the form of accrued interest, are recorded within Interest and other financial charges – net in the Consolidated Statements of Income.</w:t>
      </w:r>
    </w:p>
    <w:p>
      <w:pPr>
        <w:spacing w:after="0" w:line="200" w:lineRule="exact"/>
        <w:rPr>
          <w:sz w:val="20"/>
          <w:szCs w:val="20"/>
          <w:color w:val="auto"/>
        </w:rPr>
      </w:pPr>
    </w:p>
    <w:p>
      <w:pPr>
        <w:spacing w:after="0" w:line="215"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The cash flows associated with derivatives designated as net investment hedges are recorded in All other investing activities – net in the Consolidated Statements of Cash Flows. For the years ended December 31, 2025 and 2024, All other investing activities – net includes $178 million and $94 million, respectively, of payments for the settlement of cross-currency swaps that were designated as net investment hedges. Cash flows from the periodic interest settlements on the cross-currency swaps are recorded in All other operating activities – net in the Consolidated Statements of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Hedges</w:t>
      </w:r>
    </w:p>
    <w:p>
      <w:pPr>
        <w:spacing w:after="0" w:line="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We use interest rate swaps to hedge the interest rate risk on our fixed rate borrowings. These derivatives are designated as fair value hedges to hedge the changes in fair value due to benchmark interest rate risk of specific designated cash flows of our senior unsecured notes.</w:t>
      </w:r>
    </w:p>
    <w:p>
      <w:pPr>
        <w:spacing w:after="0" w:line="181" w:lineRule="exact"/>
        <w:rPr>
          <w:sz w:val="20"/>
          <w:szCs w:val="20"/>
          <w:color w:val="auto"/>
        </w:rPr>
      </w:pPr>
    </w:p>
    <w:p>
      <w:pPr>
        <w:jc w:val="both"/>
        <w:ind w:right="260"/>
        <w:spacing w:after="0" w:line="304" w:lineRule="auto"/>
        <w:rPr>
          <w:sz w:val="20"/>
          <w:szCs w:val="20"/>
          <w:color w:val="auto"/>
        </w:rPr>
      </w:pPr>
      <w:r>
        <w:rPr>
          <w:rFonts w:ascii="Arial" w:cs="Arial" w:eastAsia="Arial" w:hAnsi="Arial"/>
          <w:sz w:val="16"/>
          <w:szCs w:val="16"/>
          <w:color w:val="auto"/>
        </w:rPr>
        <w:t>We record the changes in fair value on these swap contracts in Interest and other financial charges – net in our Consolidated Statements of Income, the same line item where the offsetting change in the fair value of the designated cash flows of the senior unsecured note is recorded as a basis adjustment.</w:t>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Cash flows for the periodic interest settlements on the interest rate swaps are recorded in All other operating activities – net in the Consolidated Statements of Cash Flows.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 Not Designated as Hedging Instrument</w:t>
      </w:r>
      <w:r>
        <w:rPr>
          <w:rFonts w:ascii="Arial" w:cs="Arial" w:eastAsia="Arial" w:hAnsi="Arial"/>
          <w:sz w:val="16"/>
          <w:szCs w:val="16"/>
          <w:color w:val="auto"/>
        </w:rPr>
        <w:t>s</w:t>
      </w:r>
    </w:p>
    <w:p>
      <w:pPr>
        <w:spacing w:after="0" w:line="2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We also execute derivative instruments, such as foreign currency forward contracts and equity-linked total return swaps, which are not designated as qualifying hedges. These derivatives serve as economic hedges of foreign currency exchange rate and equity price risks. We also identify and record foreign currency-related features in our purchase or sales contracts where the currency is not the local or functional currency of any substantive party to the contract as embedded derivatives.</w:t>
      </w:r>
    </w:p>
    <w:p>
      <w:pPr>
        <w:spacing w:after="0" w:line="21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changes in fair value of derivatives not designated as qualifying hedge transactions are recorded in Cost of products, Cost of services, SG&amp;A, and Other (income) expense – net in the Consolidated Statements of Income based on the nature of the underlying hedged transaction. Changes in fair value of embedded derivatives are recognized in Other (income) expense – net in the Consolidated Statements of Income.</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cash flows associated with derivatives not designated but used as economic hedges are recorded, based on the nature of the underlying hedged transaction, in All other operating activities – net and All other investing activities – net in the Consolidated Statements of Cash Flows. The cash flows related to embedded derivatives are included in All other operating activities – net in the Consolidated Statements of Cash Flows.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gross fair values of our outstanding derivative instruments.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Fair Value of Derivatives</w:t>
            </w:r>
          </w:p>
        </w:tc>
        <w:tc>
          <w:tcPr>
            <w:tcW w:w="160" w:type="dxa"/>
            <w:vAlign w:val="bottom"/>
          </w:tcPr>
          <w:p>
            <w:pPr>
              <w:spacing w:after="0"/>
              <w:rPr>
                <w:sz w:val="19"/>
                <w:szCs w:val="19"/>
                <w:color w:val="auto"/>
              </w:rPr>
            </w:pPr>
          </w:p>
        </w:tc>
        <w:tc>
          <w:tcPr>
            <w:tcW w:w="300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454545"/>
              </w:rPr>
              <w:t>December 31, 2025</w:t>
            </w:r>
          </w:p>
        </w:tc>
        <w:tc>
          <w:tcPr>
            <w:tcW w:w="160" w:type="dxa"/>
            <w:vAlign w:val="bottom"/>
          </w:tcPr>
          <w:p>
            <w:pPr>
              <w:spacing w:after="0"/>
              <w:rPr>
                <w:sz w:val="19"/>
                <w:szCs w:val="19"/>
                <w:color w:val="auto"/>
              </w:rPr>
            </w:pPr>
          </w:p>
        </w:tc>
        <w:tc>
          <w:tcPr>
            <w:tcW w:w="2940" w:type="dxa"/>
            <w:vAlign w:val="bottom"/>
            <w:gridSpan w:val="5"/>
          </w:tcPr>
          <w:p>
            <w:pPr>
              <w:jc w:val="center"/>
              <w:ind w:right="7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49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gridSpan w:val="2"/>
          </w:tcPr>
          <w:p>
            <w:pPr>
              <w:spacing w:after="0" w:line="20" w:lineRule="exact"/>
              <w:rPr>
                <w:sz w:val="1"/>
                <w:szCs w:val="1"/>
                <w:color w:val="auto"/>
              </w:rPr>
            </w:pPr>
          </w:p>
        </w:tc>
        <w:tc>
          <w:tcPr>
            <w:tcW w:w="1060" w:type="dxa"/>
            <w:vAlign w:val="bottom"/>
            <w:tcBorders>
              <w:bottom w:val="single" w:sz="8" w:color="454545"/>
            </w:tcBorders>
            <w:gridSpan w:val="2"/>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1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454545"/>
              </w:rPr>
              <w:t>Fair Value –</w:t>
            </w:r>
          </w:p>
        </w:tc>
        <w:tc>
          <w:tcPr>
            <w:tcW w:w="16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454545"/>
              </w:rPr>
              <w:t>Gross</w:t>
            </w:r>
          </w:p>
        </w:tc>
        <w:tc>
          <w:tcPr>
            <w:tcW w:w="10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w:t>
            </w:r>
          </w:p>
        </w:tc>
        <w:tc>
          <w:tcPr>
            <w:tcW w:w="1060" w:type="dxa"/>
            <w:vAlign w:val="bottom"/>
            <w:gridSpan w:val="2"/>
          </w:tcPr>
          <w:p>
            <w:pPr>
              <w:jc w:val="right"/>
              <w:spacing w:after="0"/>
              <w:rPr>
                <w:sz w:val="20"/>
                <w:szCs w:val="20"/>
                <w:color w:val="auto"/>
              </w:rPr>
            </w:pPr>
            <w:r>
              <w:rPr>
                <w:rFonts w:ascii="Arial" w:cs="Arial" w:eastAsia="Arial" w:hAnsi="Arial"/>
                <w:sz w:val="16"/>
                <w:szCs w:val="16"/>
                <w:b w:val="1"/>
                <w:bCs w:val="1"/>
                <w:color w:val="454545"/>
              </w:rPr>
              <w:t>Fair Value –</w:t>
            </w:r>
          </w:p>
        </w:tc>
      </w:tr>
      <w:tr>
        <w:trPr>
          <w:trHeight w:val="223"/>
        </w:trPr>
        <w:tc>
          <w:tcPr>
            <w:tcW w:w="4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454545"/>
              </w:rPr>
              <w:t>Liabilities</w:t>
            </w:r>
          </w:p>
        </w:tc>
        <w:tc>
          <w:tcPr>
            <w:tcW w:w="160" w:type="dxa"/>
            <w:vAlign w:val="bottom"/>
          </w:tcPr>
          <w:p>
            <w:pPr>
              <w:spacing w:after="0"/>
              <w:rPr>
                <w:sz w:val="19"/>
                <w:szCs w:val="19"/>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Notional</w:t>
            </w:r>
          </w:p>
        </w:tc>
        <w:tc>
          <w:tcPr>
            <w:tcW w:w="220" w:type="dxa"/>
            <w:vAlign w:val="bottom"/>
          </w:tcPr>
          <w:p>
            <w:pPr>
              <w:spacing w:after="0"/>
              <w:rPr>
                <w:sz w:val="19"/>
                <w:szCs w:val="19"/>
                <w:color w:val="auto"/>
              </w:rPr>
            </w:pPr>
          </w:p>
        </w:tc>
        <w:tc>
          <w:tcPr>
            <w:tcW w:w="820" w:type="dxa"/>
            <w:vAlign w:val="bottom"/>
          </w:tcPr>
          <w:p>
            <w:pPr>
              <w:jc w:val="center"/>
              <w:ind w:right="79"/>
              <w:spacing w:after="0"/>
              <w:rPr>
                <w:sz w:val="20"/>
                <w:szCs w:val="20"/>
                <w:color w:val="auto"/>
              </w:rPr>
            </w:pPr>
            <w:r>
              <w:rPr>
                <w:rFonts w:ascii="Arial" w:cs="Arial" w:eastAsia="Arial" w:hAnsi="Arial"/>
                <w:sz w:val="16"/>
                <w:szCs w:val="16"/>
                <w:b w:val="1"/>
                <w:bCs w:val="1"/>
                <w:color w:val="454545"/>
              </w:rPr>
              <w:t>Assets</w:t>
            </w:r>
          </w:p>
        </w:tc>
        <w:tc>
          <w:tcPr>
            <w:tcW w:w="14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454545"/>
              </w:rPr>
              <w:t>Liabilities</w:t>
            </w:r>
          </w:p>
        </w:tc>
      </w:tr>
      <w:tr>
        <w:trPr>
          <w:trHeight w:val="21"/>
        </w:trPr>
        <w:tc>
          <w:tcPr>
            <w:tcW w:w="4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8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1,508</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52</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1,210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43</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Derivatives accounted for as cash flow hedges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1,508</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52</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1,210</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43</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0"/>
        </w:trPr>
        <w:tc>
          <w:tcPr>
            <w:tcW w:w="4980" w:type="dxa"/>
            <w:vAlign w:val="bottom"/>
            <w:shd w:val="clear" w:color="auto" w:fill="E4E4E4"/>
          </w:tcPr>
          <w:p>
            <w:pPr>
              <w:ind w:left="20"/>
              <w:spacing w:after="0"/>
              <w:rPr>
                <w:sz w:val="20"/>
                <w:szCs w:val="20"/>
                <w:color w:val="auto"/>
              </w:rPr>
            </w:pPr>
            <w:r>
              <w:rPr>
                <w:rFonts w:ascii="Arial" w:cs="Arial" w:eastAsia="Arial" w:hAnsi="Arial"/>
                <w:sz w:val="16"/>
                <w:szCs w:val="16"/>
                <w:color w:val="auto"/>
              </w:rPr>
              <w:t>Cross-currency swaps</w:t>
            </w:r>
            <w:r>
              <w:rPr>
                <w:rFonts w:ascii="Arial" w:cs="Arial" w:eastAsia="Arial" w:hAnsi="Arial"/>
                <w:sz w:val="21"/>
                <w:szCs w:val="21"/>
                <w:color w:val="auto"/>
                <w:vertAlign w:val="superscript"/>
              </w:rPr>
              <w:t>(1)</w:t>
            </w: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4,115</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140" w:type="dxa"/>
            <w:vAlign w:val="bottom"/>
            <w:shd w:val="clear" w:color="auto" w:fill="E4E4E4"/>
          </w:tcPr>
          <w:p>
            <w:pPr>
              <w:spacing w:after="0"/>
              <w:rPr>
                <w:sz w:val="21"/>
                <w:szCs w:val="21"/>
                <w:color w:val="auto"/>
              </w:rPr>
            </w:pPr>
          </w:p>
        </w:tc>
        <w:tc>
          <w:tcPr>
            <w:tcW w:w="90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135</w:t>
            </w:r>
          </w:p>
        </w:tc>
        <w:tc>
          <w:tcPr>
            <w:tcW w:w="80" w:type="dxa"/>
            <w:vAlign w:val="bottom"/>
            <w:shd w:val="clear" w:color="auto" w:fill="E4E4E4"/>
          </w:tcPr>
          <w:p>
            <w:pPr>
              <w:spacing w:after="0"/>
              <w:rPr>
                <w:sz w:val="21"/>
                <w:szCs w:val="21"/>
                <w:color w:val="auto"/>
              </w:rPr>
            </w:pPr>
          </w:p>
        </w:tc>
        <w:tc>
          <w:tcPr>
            <w:tcW w:w="16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1,995</w:t>
            </w:r>
          </w:p>
        </w:tc>
        <w:tc>
          <w:tcPr>
            <w:tcW w:w="220" w:type="dxa"/>
            <w:vAlign w:val="bottom"/>
            <w:shd w:val="clear" w:color="auto" w:fill="E4E4E4"/>
          </w:tcPr>
          <w:p>
            <w:pPr>
              <w:spacing w:after="0"/>
              <w:rPr>
                <w:sz w:val="21"/>
                <w:szCs w:val="21"/>
                <w:color w:val="auto"/>
              </w:rPr>
            </w:pPr>
          </w:p>
        </w:tc>
        <w:tc>
          <w:tcPr>
            <w:tcW w:w="8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E4E4E4"/>
          </w:tcPr>
          <w:p>
            <w:pPr>
              <w:spacing w:after="0"/>
              <w:rPr>
                <w:sz w:val="21"/>
                <w:szCs w:val="21"/>
                <w:color w:val="auto"/>
              </w:rPr>
            </w:pPr>
          </w:p>
        </w:tc>
        <w:tc>
          <w:tcPr>
            <w:tcW w:w="9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46</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2,581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1,731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9"/>
        </w:trPr>
        <w:tc>
          <w:tcPr>
            <w:tcW w:w="4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net investment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6,697</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101</w:t>
            </w:r>
          </w:p>
        </w:tc>
        <w:tc>
          <w:tcPr>
            <w:tcW w:w="140" w:type="dxa"/>
            <w:vAlign w:val="bottom"/>
            <w:tcBorders>
              <w:bottom w:val="single" w:sz="8" w:color="E4E4E4"/>
            </w:tcBorders>
            <w:shd w:val="clear" w:color="auto" w:fill="E4E4E4"/>
          </w:tcPr>
          <w:p>
            <w:pPr>
              <w:spacing w:after="0"/>
              <w:rPr>
                <w:sz w:val="21"/>
                <w:szCs w:val="21"/>
                <w:color w:val="auto"/>
              </w:rPr>
            </w:pP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172</w:t>
            </w:r>
          </w:p>
        </w:tc>
        <w:tc>
          <w:tcPr>
            <w:tcW w:w="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3,726</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64</w:t>
            </w:r>
          </w:p>
        </w:tc>
      </w:tr>
      <w:tr>
        <w:trPr>
          <w:trHeight w:val="250"/>
        </w:trPr>
        <w:tc>
          <w:tcPr>
            <w:tcW w:w="49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(1)</w:t>
            </w: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2,700</w:t>
            </w: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Derivatives accounted for as fair value hedges</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w:t>
            </w:r>
          </w:p>
        </w:tc>
        <w:tc>
          <w:tcPr>
            <w:tcW w:w="14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gridSpan w:val="2"/>
            <w:shd w:val="clear" w:color="auto" w:fill="E4E4E4"/>
          </w:tcPr>
          <w:p>
            <w:pPr>
              <w:jc w:val="right"/>
              <w:ind w:right="140"/>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2,700</w:t>
            </w:r>
          </w:p>
        </w:tc>
        <w:tc>
          <w:tcPr>
            <w:tcW w:w="220" w:type="dxa"/>
            <w:vAlign w:val="bottom"/>
            <w:tcBorders>
              <w:bottom w:val="single" w:sz="8" w:color="E4E4E4"/>
            </w:tcBorders>
            <w:shd w:val="clear" w:color="auto" w:fill="E4E4E4"/>
          </w:tcPr>
          <w:p>
            <w:pPr>
              <w:spacing w:after="0"/>
              <w:rPr>
                <w:sz w:val="21"/>
                <w:szCs w:val="21"/>
                <w:color w:val="auto"/>
              </w:rPr>
            </w:pP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51</w:t>
            </w:r>
          </w:p>
        </w:tc>
      </w:tr>
      <w:tr>
        <w:trPr>
          <w:trHeight w:val="221"/>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Foreign currency forward contracts</w:t>
            </w: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4,761</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3,925</w:t>
            </w: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w:t>
            </w:r>
          </w:p>
        </w:tc>
      </w:tr>
      <w:tr>
        <w:trPr>
          <w:trHeight w:val="29"/>
        </w:trPr>
        <w:tc>
          <w:tcPr>
            <w:tcW w:w="4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7"/>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(1)(2)</w:t>
            </w: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320</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56</w:t>
            </w:r>
          </w:p>
        </w:tc>
        <w:tc>
          <w:tcPr>
            <w:tcW w:w="140" w:type="dxa"/>
            <w:vAlign w:val="bottom"/>
            <w:tcBorders>
              <w:bottom w:val="single" w:sz="8" w:color="auto"/>
            </w:tcBorders>
            <w:shd w:val="clear" w:color="auto" w:fill="E4E4E4"/>
          </w:tcPr>
          <w:p>
            <w:pPr>
              <w:spacing w:after="0"/>
              <w:rPr>
                <w:sz w:val="22"/>
                <w:szCs w:val="22"/>
                <w:color w:val="auto"/>
              </w:rPr>
            </w:pPr>
          </w:p>
        </w:tc>
        <w:tc>
          <w:tcPr>
            <w:tcW w:w="9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auto"/>
            </w:tcBorders>
            <w:shd w:val="clear" w:color="auto" w:fill="E4E4E4"/>
          </w:tcPr>
          <w:p>
            <w:pPr>
              <w:spacing w:after="0"/>
              <w:rPr>
                <w:sz w:val="22"/>
                <w:szCs w:val="22"/>
                <w:color w:val="auto"/>
              </w:rPr>
            </w:pPr>
          </w:p>
        </w:tc>
        <w:tc>
          <w:tcPr>
            <w:tcW w:w="160" w:type="dxa"/>
            <w:vAlign w:val="bottom"/>
            <w:tcBorders>
              <w:bottom w:val="single" w:sz="8" w:color="auto"/>
            </w:tcBorders>
            <w:shd w:val="clear" w:color="auto" w:fill="E4E4E4"/>
          </w:tcPr>
          <w:p>
            <w:pPr>
              <w:spacing w:after="0"/>
              <w:rPr>
                <w:sz w:val="22"/>
                <w:szCs w:val="22"/>
                <w:color w:val="auto"/>
              </w:rPr>
            </w:pPr>
          </w:p>
        </w:tc>
        <w:tc>
          <w:tcPr>
            <w:tcW w:w="8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370</w:t>
            </w:r>
          </w:p>
        </w:tc>
        <w:tc>
          <w:tcPr>
            <w:tcW w:w="220" w:type="dxa"/>
            <w:vAlign w:val="bottom"/>
            <w:tcBorders>
              <w:bottom w:val="single" w:sz="8" w:color="auto"/>
            </w:tcBorders>
            <w:shd w:val="clear" w:color="auto" w:fill="E4E4E4"/>
          </w:tcPr>
          <w:p>
            <w:pPr>
              <w:spacing w:after="0"/>
              <w:rPr>
                <w:sz w:val="22"/>
                <w:szCs w:val="22"/>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47</w:t>
            </w:r>
          </w:p>
        </w:tc>
        <w:tc>
          <w:tcPr>
            <w:tcW w:w="140" w:type="dxa"/>
            <w:vAlign w:val="bottom"/>
            <w:tcBorders>
              <w:bottom w:val="single" w:sz="8" w:color="auto"/>
            </w:tcBorders>
            <w:shd w:val="clear" w:color="auto" w:fill="E4E4E4"/>
          </w:tcPr>
          <w:p>
            <w:pPr>
              <w:spacing w:after="0"/>
              <w:rPr>
                <w:sz w:val="22"/>
                <w:szCs w:val="22"/>
                <w:color w:val="auto"/>
              </w:rPr>
            </w:pPr>
          </w:p>
        </w:tc>
        <w:tc>
          <w:tcPr>
            <w:tcW w:w="9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5,081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4,294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57</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29</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derivatives</w:t>
            </w: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15,986</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256</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207</w:t>
            </w:r>
          </w:p>
        </w:tc>
        <w:tc>
          <w:tcPr>
            <w:tcW w:w="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11,930</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145</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155</w:t>
            </w:r>
          </w:p>
        </w:tc>
      </w:tr>
      <w:tr>
        <w:trPr>
          <w:trHeight w:val="20"/>
        </w:trPr>
        <w:tc>
          <w:tcPr>
            <w:tcW w:w="4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100" w:hanging="252"/>
        <w:spacing w:after="0" w:line="265" w:lineRule="auto"/>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 of December 31, 2025, accrued interest is included in the above fair value and is not considered material. As of December 31, 2024, accrued interest is excluded from the above fair value and is not considered material.</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and derivatives related to equity contracts.</w:t>
      </w:r>
    </w:p>
    <w:p>
      <w:pPr>
        <w:spacing w:after="0" w:line="232" w:lineRule="exact"/>
        <w:rPr>
          <w:sz w:val="20"/>
          <w:szCs w:val="20"/>
          <w:color w:val="auto"/>
        </w:rPr>
      </w:pPr>
    </w:p>
    <w:p>
      <w:pPr>
        <w:ind w:right="320"/>
        <w:spacing w:after="0" w:line="290" w:lineRule="auto"/>
        <w:rPr>
          <w:sz w:val="20"/>
          <w:szCs w:val="20"/>
          <w:color w:val="auto"/>
        </w:rPr>
      </w:pPr>
      <w:r>
        <w:rPr>
          <w:rFonts w:ascii="Arial" w:cs="Arial" w:eastAsia="Arial" w:hAnsi="Arial"/>
          <w:sz w:val="16"/>
          <w:szCs w:val="16"/>
          <w:color w:val="auto"/>
        </w:rPr>
        <w:t>The following table presents amounts recorded in Long-term borrowings in the Consolidated Statements of Financial Position related to cumulative basis adjustment for fair value hedges.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40" w:type="dxa"/>
            <w:vAlign w:val="bottom"/>
            <w:gridSpan w:val="4"/>
          </w:tcPr>
          <w:p>
            <w:pPr>
              <w:ind w:left="800"/>
              <w:spacing w:after="0"/>
              <w:rPr>
                <w:sz w:val="20"/>
                <w:szCs w:val="20"/>
                <w:color w:val="auto"/>
              </w:rPr>
            </w:pPr>
            <w:r>
              <w:rPr>
                <w:rFonts w:ascii="Arial" w:cs="Arial" w:eastAsia="Arial" w:hAnsi="Arial"/>
                <w:sz w:val="16"/>
                <w:szCs w:val="16"/>
                <w:b w:val="1"/>
                <w:bCs w:val="1"/>
                <w:color w:val="454545"/>
              </w:rPr>
              <w:t>December 31, 2025</w:t>
            </w:r>
          </w:p>
        </w:tc>
        <w:tc>
          <w:tcPr>
            <w:tcW w:w="120" w:type="dxa"/>
            <w:vAlign w:val="bottom"/>
          </w:tcPr>
          <w:p>
            <w:pPr>
              <w:spacing w:after="0"/>
              <w:rPr>
                <w:sz w:val="19"/>
                <w:szCs w:val="19"/>
                <w:color w:val="auto"/>
              </w:rPr>
            </w:pPr>
          </w:p>
        </w:tc>
        <w:tc>
          <w:tcPr>
            <w:tcW w:w="3180" w:type="dxa"/>
            <w:vAlign w:val="bottom"/>
            <w:gridSpan w:val="3"/>
          </w:tcPr>
          <w:p>
            <w:pPr>
              <w:jc w:val="right"/>
              <w:ind w:right="839"/>
              <w:spacing w:after="0"/>
              <w:rPr>
                <w:sz w:val="20"/>
                <w:szCs w:val="20"/>
                <w:color w:val="auto"/>
              </w:rPr>
            </w:pPr>
            <w:r>
              <w:rPr>
                <w:rFonts w:ascii="Arial" w:cs="Arial" w:eastAsia="Arial" w:hAnsi="Arial"/>
                <w:sz w:val="16"/>
                <w:szCs w:val="16"/>
                <w:b w:val="1"/>
                <w:bCs w:val="1"/>
                <w:color w:val="454545"/>
              </w:rPr>
              <w:t>December 31, 2024</w:t>
            </w:r>
          </w:p>
        </w:tc>
        <w:tc>
          <w:tcPr>
            <w:tcW w:w="0" w:type="dxa"/>
            <w:vAlign w:val="bottom"/>
          </w:tcPr>
          <w:p>
            <w:pPr>
              <w:spacing w:after="0"/>
              <w:rPr>
                <w:sz w:val="1"/>
                <w:szCs w:val="1"/>
                <w:color w:val="auto"/>
              </w:rPr>
            </w:pPr>
          </w:p>
        </w:tc>
      </w:tr>
      <w:tr>
        <w:trPr>
          <w:trHeight w:val="21"/>
        </w:trPr>
        <w:tc>
          <w:tcPr>
            <w:tcW w:w="45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60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6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79"/>
              <w:spacing w:after="0" w:line="182" w:lineRule="exact"/>
              <w:rPr>
                <w:sz w:val="20"/>
                <w:szCs w:val="20"/>
                <w:color w:val="auto"/>
              </w:rPr>
            </w:pPr>
            <w:r>
              <w:rPr>
                <w:rFonts w:ascii="Arial" w:cs="Arial" w:eastAsia="Arial" w:hAnsi="Arial"/>
                <w:sz w:val="16"/>
                <w:szCs w:val="16"/>
                <w:b w:val="1"/>
                <w:bCs w:val="1"/>
                <w:color w:val="454545"/>
              </w:rPr>
              <w:t>Cumulative basis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80" w:type="dxa"/>
            <w:vAlign w:val="bottom"/>
            <w:gridSpan w:val="3"/>
          </w:tcPr>
          <w:p>
            <w:pPr>
              <w:jc w:val="center"/>
              <w:ind w:right="40"/>
              <w:spacing w:after="0" w:line="175" w:lineRule="exact"/>
              <w:rPr>
                <w:sz w:val="20"/>
                <w:szCs w:val="20"/>
                <w:color w:val="auto"/>
              </w:rPr>
            </w:pPr>
            <w:r>
              <w:rPr>
                <w:rFonts w:ascii="Arial" w:cs="Arial" w:eastAsia="Arial" w:hAnsi="Arial"/>
                <w:sz w:val="16"/>
                <w:szCs w:val="16"/>
                <w:b w:val="1"/>
                <w:bCs w:val="1"/>
                <w:color w:val="454545"/>
              </w:rPr>
              <w:t>adjustment included</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center"/>
              <w:ind w:right="79"/>
              <w:spacing w:after="0" w:line="175" w:lineRule="exact"/>
              <w:rPr>
                <w:sz w:val="20"/>
                <w:szCs w:val="20"/>
                <w:color w:val="auto"/>
              </w:rPr>
            </w:pPr>
            <w:r>
              <w:rPr>
                <w:rFonts w:ascii="Arial" w:cs="Arial" w:eastAsia="Arial" w:hAnsi="Arial"/>
                <w:sz w:val="16"/>
                <w:szCs w:val="16"/>
                <w:b w:val="1"/>
                <w:bCs w:val="1"/>
                <w:color w:val="454545"/>
              </w:rPr>
              <w:t>Cumulative basis</w:t>
            </w: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454545"/>
                <w:w w:val="98"/>
              </w:rPr>
              <w:t>Carrying amount</w:t>
            </w:r>
          </w:p>
        </w:tc>
        <w:tc>
          <w:tcPr>
            <w:tcW w:w="200" w:type="dxa"/>
            <w:vAlign w:val="bottom"/>
          </w:tcPr>
          <w:p>
            <w:pPr>
              <w:spacing w:after="0"/>
              <w:rPr>
                <w:sz w:val="15"/>
                <w:szCs w:val="15"/>
                <w:color w:val="auto"/>
              </w:rPr>
            </w:pPr>
          </w:p>
        </w:tc>
        <w:tc>
          <w:tcPr>
            <w:tcW w:w="1680" w:type="dxa"/>
            <w:vAlign w:val="bottom"/>
            <w:gridSpan w:val="2"/>
          </w:tcPr>
          <w:p>
            <w:pPr>
              <w:jc w:val="center"/>
              <w:ind w:right="240"/>
              <w:spacing w:after="0" w:line="176" w:lineRule="exact"/>
              <w:rPr>
                <w:sz w:val="20"/>
                <w:szCs w:val="20"/>
                <w:color w:val="auto"/>
              </w:rPr>
            </w:pPr>
            <w:r>
              <w:rPr>
                <w:rFonts w:ascii="Arial" w:cs="Arial" w:eastAsia="Arial" w:hAnsi="Arial"/>
                <w:sz w:val="16"/>
                <w:szCs w:val="16"/>
                <w:b w:val="1"/>
                <w:bCs w:val="1"/>
                <w:color w:val="454545"/>
              </w:rPr>
              <w:t>in the carrying</w:t>
            </w:r>
          </w:p>
        </w:tc>
        <w:tc>
          <w:tcPr>
            <w:tcW w:w="1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b w:val="1"/>
                <w:bCs w:val="1"/>
                <w:color w:val="454545"/>
                <w:w w:val="99"/>
              </w:rPr>
              <w:t>Carrying amount</w:t>
            </w:r>
          </w:p>
        </w:tc>
        <w:tc>
          <w:tcPr>
            <w:tcW w:w="1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454545"/>
              </w:rPr>
              <w:t>adjustment included</w:t>
            </w:r>
          </w:p>
        </w:tc>
        <w:tc>
          <w:tcPr>
            <w:tcW w:w="0" w:type="dxa"/>
            <w:vAlign w:val="bottom"/>
          </w:tcPr>
          <w:p>
            <w:pPr>
              <w:spacing w:after="0"/>
              <w:rPr>
                <w:sz w:val="1"/>
                <w:szCs w:val="1"/>
                <w:color w:val="auto"/>
              </w:rPr>
            </w:pPr>
          </w:p>
        </w:tc>
      </w:tr>
      <w:tr>
        <w:trPr>
          <w:trHeight w:val="239"/>
        </w:trPr>
        <w:tc>
          <w:tcPr>
            <w:tcW w:w="4580" w:type="dxa"/>
            <w:vAlign w:val="bottom"/>
            <w:tcBorders>
              <w:bottom w:val="single" w:sz="8" w:color="6022A6"/>
            </w:tcBorders>
          </w:tcPr>
          <w:p>
            <w:pPr>
              <w:spacing w:after="0"/>
              <w:rPr>
                <w:sz w:val="20"/>
                <w:szCs w:val="20"/>
                <w:color w:val="auto"/>
              </w:rPr>
            </w:pPr>
          </w:p>
        </w:tc>
        <w:tc>
          <w:tcPr>
            <w:tcW w:w="120" w:type="dxa"/>
            <w:vAlign w:val="bottom"/>
            <w:tcBorders>
              <w:bottom w:val="single" w:sz="8" w:color="6022A6"/>
            </w:tcBorders>
          </w:tcPr>
          <w:p>
            <w:pPr>
              <w:spacing w:after="0"/>
              <w:rPr>
                <w:sz w:val="20"/>
                <w:szCs w:val="20"/>
                <w:color w:val="auto"/>
              </w:rPr>
            </w:pPr>
          </w:p>
        </w:tc>
        <w:tc>
          <w:tcPr>
            <w:tcW w:w="1360" w:type="dxa"/>
            <w:vAlign w:val="bottom"/>
            <w:tcBorders>
              <w:bottom w:val="single" w:sz="8" w:color="6022A6"/>
            </w:tcBorders>
            <w:vMerge w:val="continue"/>
          </w:tcPr>
          <w:p>
            <w:pPr>
              <w:spacing w:after="0"/>
              <w:rPr>
                <w:sz w:val="20"/>
                <w:szCs w:val="20"/>
                <w:color w:val="auto"/>
              </w:rPr>
            </w:pPr>
          </w:p>
        </w:tc>
        <w:tc>
          <w:tcPr>
            <w:tcW w:w="200" w:type="dxa"/>
            <w:vAlign w:val="bottom"/>
            <w:tcBorders>
              <w:bottom w:val="single" w:sz="8" w:color="6022A6"/>
            </w:tcBorders>
          </w:tcPr>
          <w:p>
            <w:pPr>
              <w:spacing w:after="0"/>
              <w:rPr>
                <w:sz w:val="20"/>
                <w:szCs w:val="20"/>
                <w:color w:val="auto"/>
              </w:rPr>
            </w:pPr>
          </w:p>
        </w:tc>
        <w:tc>
          <w:tcPr>
            <w:tcW w:w="1680" w:type="dxa"/>
            <w:vAlign w:val="bottom"/>
            <w:tcBorders>
              <w:bottom w:val="single" w:sz="8" w:color="6022A6"/>
            </w:tcBorders>
            <w:gridSpan w:val="2"/>
          </w:tcPr>
          <w:p>
            <w:pPr>
              <w:jc w:val="center"/>
              <w:ind w:right="240"/>
              <w:spacing w:after="0"/>
              <w:rPr>
                <w:sz w:val="20"/>
                <w:szCs w:val="20"/>
                <w:color w:val="auto"/>
              </w:rPr>
            </w:pPr>
            <w:r>
              <w:rPr>
                <w:rFonts w:ascii="Arial" w:cs="Arial" w:eastAsia="Arial" w:hAnsi="Arial"/>
                <w:sz w:val="16"/>
                <w:szCs w:val="16"/>
                <w:b w:val="1"/>
                <w:bCs w:val="1"/>
                <w:color w:val="454545"/>
              </w:rPr>
              <w:t>amount</w:t>
            </w:r>
          </w:p>
        </w:tc>
        <w:tc>
          <w:tcPr>
            <w:tcW w:w="120" w:type="dxa"/>
            <w:vAlign w:val="bottom"/>
            <w:tcBorders>
              <w:bottom w:val="single" w:sz="8" w:color="6022A6"/>
            </w:tcBorders>
          </w:tcPr>
          <w:p>
            <w:pPr>
              <w:spacing w:after="0"/>
              <w:rPr>
                <w:sz w:val="20"/>
                <w:szCs w:val="20"/>
                <w:color w:val="auto"/>
              </w:rPr>
            </w:pPr>
          </w:p>
        </w:tc>
        <w:tc>
          <w:tcPr>
            <w:tcW w:w="1380" w:type="dxa"/>
            <w:vAlign w:val="bottom"/>
            <w:tcBorders>
              <w:bottom w:val="single" w:sz="8" w:color="6022A6"/>
            </w:tcBorders>
            <w:vMerge w:val="continue"/>
          </w:tcPr>
          <w:p>
            <w:pPr>
              <w:spacing w:after="0"/>
              <w:rPr>
                <w:sz w:val="20"/>
                <w:szCs w:val="20"/>
                <w:color w:val="auto"/>
              </w:rPr>
            </w:pPr>
          </w:p>
        </w:tc>
        <w:tc>
          <w:tcPr>
            <w:tcW w:w="1800" w:type="dxa"/>
            <w:vAlign w:val="bottom"/>
            <w:tcBorders>
              <w:bottom w:val="single" w:sz="8" w:color="6022A6"/>
            </w:tcBorders>
            <w:gridSpan w:val="2"/>
          </w:tcPr>
          <w:p>
            <w:pPr>
              <w:jc w:val="center"/>
              <w:spacing w:after="0"/>
              <w:rPr>
                <w:sz w:val="20"/>
                <w:szCs w:val="20"/>
                <w:color w:val="auto"/>
              </w:rPr>
            </w:pPr>
            <w:r>
              <w:rPr>
                <w:rFonts w:ascii="Arial" w:cs="Arial" w:eastAsia="Arial" w:hAnsi="Arial"/>
                <w:sz w:val="16"/>
                <w:szCs w:val="16"/>
                <w:b w:val="1"/>
                <w:bCs w:val="1"/>
                <w:color w:val="454545"/>
              </w:rPr>
              <w:t>in the carrying amount</w:t>
            </w:r>
          </w:p>
        </w:tc>
        <w:tc>
          <w:tcPr>
            <w:tcW w:w="0" w:type="dxa"/>
            <w:vAlign w:val="bottom"/>
          </w:tcPr>
          <w:p>
            <w:pPr>
              <w:spacing w:after="0"/>
              <w:rPr>
                <w:sz w:val="1"/>
                <w:szCs w:val="1"/>
                <w:color w:val="auto"/>
              </w:rPr>
            </w:pPr>
          </w:p>
        </w:tc>
      </w:tr>
      <w:tr>
        <w:trPr>
          <w:trHeight w:val="234"/>
        </w:trPr>
        <w:tc>
          <w:tcPr>
            <w:tcW w:w="45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borrowings designated as fair value hedges</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2,722</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w:t>
            </w:r>
          </w:p>
        </w:tc>
        <w:tc>
          <w:tcPr>
            <w:tcW w:w="8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2,644</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4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Under the master arrangements with the respective counterparties to our derivative contracts, in certain circumstances and subject to applicable requirements, we are allowed to net settle transactions with a single net amount payable by one party to the other. However, we have elected to present the derivative assets and derivative liabilities on a gross basis in our Consolidated Statements of Financial Position and in the table above.</w:t>
      </w:r>
    </w:p>
    <w:p>
      <w:pPr>
        <w:spacing w:after="0" w:line="197"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As of December 31, 2025 and 2024, the potential effect of rights of offset associated with the derivative contracts would be an offset to both assets and liabilities by $107 million and $77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pre-tax gains (losses) recognized in OCI associated with the Company’s cash flow and net investment hedges.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20" w:type="dxa"/>
            <w:vAlign w:val="bottom"/>
            <w:gridSpan w:val="2"/>
          </w:tcPr>
          <w:p>
            <w:pPr>
              <w:ind w:left="20"/>
              <w:spacing w:after="0"/>
              <w:rPr>
                <w:sz w:val="20"/>
                <w:szCs w:val="20"/>
                <w:color w:val="auto"/>
              </w:rPr>
            </w:pPr>
            <w:r>
              <w:rPr>
                <w:rFonts w:ascii="Arial" w:cs="Arial" w:eastAsia="Arial" w:hAnsi="Arial"/>
                <w:sz w:val="16"/>
                <w:szCs w:val="16"/>
                <w:b w:val="1"/>
                <w:bCs w:val="1"/>
                <w:color w:val="auto"/>
              </w:rPr>
              <w:t>Pre-tax Gains (Losses) Recognized in OCI Related to Cash Flow and Net Investment Hedges</w:t>
            </w: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43"/>
        </w:trPr>
        <w:tc>
          <w:tcPr>
            <w:tcW w:w="60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20" w:type="dxa"/>
            <w:vAlign w:val="bottom"/>
            <w:gridSpan w:val="3"/>
          </w:tcPr>
          <w:p>
            <w:pPr>
              <w:ind w:left="140"/>
              <w:spacing w:after="0"/>
              <w:rPr>
                <w:sz w:val="20"/>
                <w:szCs w:val="20"/>
                <w:color w:val="auto"/>
              </w:rPr>
            </w:pPr>
            <w:r>
              <w:rPr>
                <w:rFonts w:ascii="Arial" w:cs="Arial" w:eastAsia="Arial" w:hAnsi="Arial"/>
                <w:sz w:val="16"/>
                <w:szCs w:val="16"/>
                <w:b w:val="1"/>
                <w:bCs w:val="1"/>
                <w:color w:val="454545"/>
              </w:rPr>
              <w:t>For the years ended December 31</w:t>
            </w:r>
          </w:p>
        </w:tc>
        <w:tc>
          <w:tcPr>
            <w:tcW w:w="1200" w:type="dxa"/>
            <w:vAlign w:val="bottom"/>
          </w:tcPr>
          <w:p>
            <w:pPr>
              <w:spacing w:after="0"/>
              <w:rPr>
                <w:sz w:val="21"/>
                <w:szCs w:val="21"/>
                <w:color w:val="auto"/>
              </w:rPr>
            </w:pPr>
          </w:p>
        </w:tc>
      </w:tr>
      <w:tr>
        <w:trPr>
          <w:trHeight w:val="21"/>
        </w:trPr>
        <w:tc>
          <w:tcPr>
            <w:tcW w:w="6060" w:type="dxa"/>
            <w:vAlign w:val="bottom"/>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c>
          <w:tcPr>
            <w:tcW w:w="900" w:type="dxa"/>
            <w:vAlign w:val="bottom"/>
            <w:tcBorders>
              <w:bottom w:val="single" w:sz="8" w:color="454545"/>
            </w:tcBorders>
          </w:tcPr>
          <w:p>
            <w:pPr>
              <w:spacing w:after="0" w:line="20" w:lineRule="exact"/>
              <w:rPr>
                <w:sz w:val="1"/>
                <w:szCs w:val="1"/>
                <w:color w:val="auto"/>
              </w:rPr>
            </w:pPr>
          </w:p>
        </w:tc>
        <w:tc>
          <w:tcPr>
            <w:tcW w:w="1280" w:type="dxa"/>
            <w:vAlign w:val="bottom"/>
            <w:tcBorders>
              <w:bottom w:val="single" w:sz="8" w:color="454545"/>
            </w:tcBorders>
          </w:tcPr>
          <w:p>
            <w:pPr>
              <w:spacing w:after="0" w:line="20" w:lineRule="exact"/>
              <w:rPr>
                <w:sz w:val="1"/>
                <w:szCs w:val="1"/>
                <w:color w:val="auto"/>
              </w:rPr>
            </w:pPr>
          </w:p>
        </w:tc>
        <w:tc>
          <w:tcPr>
            <w:tcW w:w="64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r>
      <w:tr>
        <w:trPr>
          <w:trHeight w:val="229"/>
        </w:trPr>
        <w:tc>
          <w:tcPr>
            <w:tcW w:w="60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2025</w:t>
            </w:r>
          </w:p>
        </w:tc>
        <w:tc>
          <w:tcPr>
            <w:tcW w:w="900" w:type="dxa"/>
            <w:vAlign w:val="bottom"/>
          </w:tcPr>
          <w:p>
            <w:pPr>
              <w:spacing w:after="0"/>
              <w:rPr>
                <w:sz w:val="19"/>
                <w:szCs w:val="19"/>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454545"/>
              </w:rPr>
              <w:t>2024</w:t>
            </w:r>
          </w:p>
        </w:tc>
        <w:tc>
          <w:tcPr>
            <w:tcW w:w="640" w:type="dxa"/>
            <w:vAlign w:val="bottom"/>
          </w:tcPr>
          <w:p>
            <w:pPr>
              <w:spacing w:after="0"/>
              <w:rPr>
                <w:sz w:val="19"/>
                <w:szCs w:val="19"/>
                <w:color w:val="auto"/>
              </w:rPr>
            </w:pPr>
          </w:p>
        </w:tc>
        <w:tc>
          <w:tcPr>
            <w:tcW w:w="120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2023</w:t>
            </w:r>
          </w:p>
        </w:tc>
      </w:tr>
      <w:tr>
        <w:trPr>
          <w:trHeight w:val="21"/>
        </w:trPr>
        <w:tc>
          <w:tcPr>
            <w:tcW w:w="606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c>
          <w:tcPr>
            <w:tcW w:w="900" w:type="dxa"/>
            <w:vAlign w:val="bottom"/>
            <w:tcBorders>
              <w:bottom w:val="single" w:sz="8" w:color="6022A6"/>
            </w:tcBorders>
          </w:tcPr>
          <w:p>
            <w:pPr>
              <w:spacing w:after="0" w:line="20" w:lineRule="exact"/>
              <w:rPr>
                <w:sz w:val="1"/>
                <w:szCs w:val="1"/>
                <w:color w:val="auto"/>
              </w:rPr>
            </w:pPr>
          </w:p>
        </w:tc>
        <w:tc>
          <w:tcPr>
            <w:tcW w:w="1280" w:type="dxa"/>
            <w:vAlign w:val="bottom"/>
            <w:tcBorders>
              <w:bottom w:val="single" w:sz="8" w:color="6022A6"/>
            </w:tcBorders>
          </w:tcPr>
          <w:p>
            <w:pPr>
              <w:spacing w:after="0" w:line="20" w:lineRule="exact"/>
              <w:rPr>
                <w:sz w:val="1"/>
                <w:szCs w:val="1"/>
                <w:color w:val="auto"/>
              </w:rPr>
            </w:pPr>
          </w:p>
        </w:tc>
        <w:tc>
          <w:tcPr>
            <w:tcW w:w="640" w:type="dxa"/>
            <w:vAlign w:val="bottom"/>
            <w:tcBorders>
              <w:bottom w:val="single" w:sz="8" w:color="6022A6"/>
            </w:tcBorders>
          </w:tcPr>
          <w:p>
            <w:pPr>
              <w:spacing w:after="0" w:line="20" w:lineRule="exact"/>
              <w:rPr>
                <w:sz w:val="1"/>
                <w:szCs w:val="1"/>
                <w:color w:val="auto"/>
              </w:rPr>
            </w:pPr>
          </w:p>
        </w:tc>
        <w:tc>
          <w:tcPr>
            <w:tcW w:w="1200" w:type="dxa"/>
            <w:vAlign w:val="bottom"/>
            <w:tcBorders>
              <w:bottom w:val="single" w:sz="8" w:color="6022A6"/>
            </w:tcBorders>
          </w:tcPr>
          <w:p>
            <w:pPr>
              <w:spacing w:after="0" w:line="20" w:lineRule="exact"/>
              <w:rPr>
                <w:sz w:val="1"/>
                <w:szCs w:val="1"/>
                <w:color w:val="auto"/>
              </w:rPr>
            </w:pPr>
          </w:p>
        </w:tc>
      </w:tr>
      <w:tr>
        <w:trPr>
          <w:trHeight w:val="230"/>
        </w:trPr>
        <w:tc>
          <w:tcPr>
            <w:tcW w:w="6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flow hedges</w:t>
            </w:r>
          </w:p>
        </w:tc>
        <w:tc>
          <w:tcPr>
            <w:tcW w:w="1160" w:type="dxa"/>
            <w:vAlign w:val="bottom"/>
            <w:tcBorders>
              <w:bottom w:val="single" w:sz="8" w:color="E4E4E4"/>
            </w:tcBorders>
            <w:shd w:val="clear" w:color="auto" w:fill="E4E4E4"/>
          </w:tcPr>
          <w:p>
            <w:pPr>
              <w:jc w:val="right"/>
              <w:ind w:right="9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E4E4E4"/>
            </w:tcBorders>
            <w:shd w:val="clear" w:color="auto" w:fill="E4E4E4"/>
          </w:tcPr>
          <w:p>
            <w:pPr>
              <w:ind w:left="280"/>
              <w:spacing w:after="0"/>
              <w:rPr>
                <w:sz w:val="20"/>
                <w:szCs w:val="20"/>
                <w:color w:val="auto"/>
              </w:rPr>
            </w:pPr>
            <w:r>
              <w:rPr>
                <w:rFonts w:ascii="Arial" w:cs="Arial" w:eastAsia="Arial" w:hAnsi="Arial"/>
                <w:sz w:val="16"/>
                <w:szCs w:val="16"/>
                <w:color w:val="auto"/>
              </w:rPr>
              <w:t>— $</w:t>
            </w:r>
          </w:p>
        </w:tc>
        <w:tc>
          <w:tcPr>
            <w:tcW w:w="12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44</w:t>
            </w:r>
          </w:p>
        </w:tc>
        <w:tc>
          <w:tcPr>
            <w:tcW w:w="640" w:type="dxa"/>
            <w:vAlign w:val="bottom"/>
            <w:tcBorders>
              <w:bottom w:val="single" w:sz="8" w:color="E4E4E4"/>
            </w:tcBorders>
            <w:shd w:val="clear" w:color="auto" w:fill="E4E4E4"/>
          </w:tcPr>
          <w:p>
            <w:pPr>
              <w:jc w:val="right"/>
              <w:ind w:right="4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r>
      <w:tr>
        <w:trPr>
          <w:trHeight w:val="257"/>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investment hedges</w:t>
            </w:r>
            <w:r>
              <w:rPr>
                <w:rFonts w:ascii="Arial" w:cs="Arial" w:eastAsia="Arial" w:hAnsi="Arial"/>
                <w:sz w:val="21"/>
                <w:szCs w:val="21"/>
                <w:color w:val="auto"/>
                <w:vertAlign w:val="superscript"/>
              </w:rPr>
              <w:t>(1)</w:t>
            </w:r>
          </w:p>
        </w:tc>
        <w:tc>
          <w:tcPr>
            <w:tcW w:w="1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(263)</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6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Amounts recognized in OCI for excluded components for the periods presented were immaterial.</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present the gains (losses) on our derivative financial instruments and hedging activity in the Consolidated Statements of Income.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Derivative Financial Instruments and Hedging Activity</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9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780" w:type="dxa"/>
            <w:vAlign w:val="bottom"/>
            <w:gridSpan w:val="5"/>
          </w:tcPr>
          <w:p>
            <w:pPr>
              <w:jc w:val="center"/>
              <w:ind w:right="359"/>
              <w:spacing w:after="0"/>
              <w:rPr>
                <w:sz w:val="20"/>
                <w:szCs w:val="20"/>
                <w:color w:val="auto"/>
              </w:rPr>
            </w:pPr>
            <w:r>
              <w:rPr>
                <w:rFonts w:ascii="Arial" w:cs="Arial" w:eastAsia="Arial" w:hAnsi="Arial"/>
                <w:sz w:val="16"/>
                <w:szCs w:val="16"/>
                <w:b w:val="1"/>
                <w:bCs w:val="1"/>
                <w:color w:val="454545"/>
              </w:rPr>
              <w:t>For the year ended December 31, 2025</w:t>
            </w: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vMerge w:val="restart"/>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c>
          <w:tcPr>
            <w:tcW w:w="0" w:type="dxa"/>
            <w:vAlign w:val="bottom"/>
          </w:tcPr>
          <w:p>
            <w:pPr>
              <w:spacing w:after="0"/>
              <w:rPr>
                <w:sz w:val="1"/>
                <w:szCs w:val="1"/>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right="179"/>
              <w:spacing w:after="0"/>
              <w:rPr>
                <w:sz w:val="20"/>
                <w:szCs w:val="20"/>
                <w:color w:val="auto"/>
              </w:rPr>
            </w:pPr>
            <w:r>
              <w:rPr>
                <w:rFonts w:ascii="Arial" w:cs="Arial" w:eastAsia="Arial" w:hAnsi="Arial"/>
                <w:sz w:val="16"/>
                <w:szCs w:val="16"/>
                <w:b w:val="1"/>
                <w:bCs w:val="1"/>
                <w:color w:val="454545"/>
                <w:w w:val="99"/>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38</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options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21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59</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63</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(78)</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(15)</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w:t>
            </w:r>
          </w:p>
        </w:tc>
        <w:tc>
          <w:tcPr>
            <w:tcW w:w="220" w:type="dxa"/>
            <w:vAlign w:val="bottom"/>
            <w:tcBorders>
              <w:bottom w:val="single" w:sz="8" w:color="E4E4E4"/>
            </w:tcBorders>
            <w:shd w:val="clear" w:color="auto" w:fill="E4E4E4"/>
          </w:tcPr>
          <w:p>
            <w:pPr>
              <w:spacing w:after="0"/>
              <w:rPr>
                <w:sz w:val="21"/>
                <w:szCs w:val="21"/>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260" w:type="dxa"/>
            <w:vAlign w:val="bottom"/>
            <w:tcBorders>
              <w:bottom w:val="single" w:sz="8" w:color="E4E4E4"/>
            </w:tcBorders>
            <w:shd w:val="clear" w:color="auto" w:fill="E4E4E4"/>
          </w:tcPr>
          <w:p>
            <w:pPr>
              <w:spacing w:after="0"/>
              <w:rPr>
                <w:sz w:val="21"/>
                <w:szCs w:val="21"/>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E4E4E4"/>
            </w:tcBorders>
            <w:shd w:val="clear" w:color="auto" w:fill="E4E4E4"/>
          </w:tcPr>
          <w:p>
            <w:pPr>
              <w:spacing w:after="0"/>
              <w:rPr>
                <w:sz w:val="21"/>
                <w:szCs w:val="21"/>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566"/>
        </w:trPr>
        <w:tc>
          <w:tcPr>
            <w:tcW w:w="49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gridSpan w:val="5"/>
          </w:tcPr>
          <w:p>
            <w:pPr>
              <w:jc w:val="center"/>
              <w:ind w:right="359"/>
              <w:spacing w:after="0"/>
              <w:rPr>
                <w:sz w:val="20"/>
                <w:szCs w:val="20"/>
                <w:color w:val="auto"/>
              </w:rPr>
            </w:pPr>
            <w:r>
              <w:rPr>
                <w:rFonts w:ascii="Arial" w:cs="Arial" w:eastAsia="Arial" w:hAnsi="Arial"/>
                <w:sz w:val="16"/>
                <w:szCs w:val="16"/>
                <w:b w:val="1"/>
                <w:bCs w:val="1"/>
                <w:color w:val="454545"/>
              </w:rPr>
              <w:t>For the year ended December 31, 2024</w:t>
            </w:r>
          </w:p>
        </w:tc>
        <w:tc>
          <w:tcPr>
            <w:tcW w:w="10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26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4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20" w:type="dxa"/>
            <w:vAlign w:val="bottom"/>
          </w:tcPr>
          <w:p>
            <w:pPr>
              <w:spacing w:after="0"/>
              <w:rPr>
                <w:sz w:val="17"/>
                <w:szCs w:val="17"/>
                <w:color w:val="auto"/>
              </w:rPr>
            </w:pPr>
          </w:p>
        </w:tc>
        <w:tc>
          <w:tcPr>
            <w:tcW w:w="1040" w:type="dxa"/>
            <w:vAlign w:val="bottom"/>
          </w:tcPr>
          <w:p>
            <w:pPr>
              <w:jc w:val="center"/>
              <w:ind w:right="119"/>
              <w:spacing w:after="0"/>
              <w:rPr>
                <w:sz w:val="20"/>
                <w:szCs w:val="20"/>
                <w:color w:val="auto"/>
              </w:rPr>
            </w:pPr>
            <w:r>
              <w:rPr>
                <w:rFonts w:ascii="Arial" w:cs="Arial" w:eastAsia="Arial" w:hAnsi="Arial"/>
                <w:sz w:val="16"/>
                <w:szCs w:val="16"/>
                <w:b w:val="1"/>
                <w:bCs w:val="1"/>
                <w:color w:val="454545"/>
              </w:rPr>
              <w:t>Cost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8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2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99"/>
              <w:spacing w:after="0"/>
              <w:rPr>
                <w:sz w:val="20"/>
                <w:szCs w:val="20"/>
                <w:color w:val="auto"/>
              </w:rPr>
            </w:pPr>
            <w:r>
              <w:rPr>
                <w:rFonts w:ascii="Arial" w:cs="Arial" w:eastAsia="Arial" w:hAnsi="Arial"/>
                <w:sz w:val="16"/>
                <w:szCs w:val="16"/>
                <w:b w:val="1"/>
                <w:bCs w:val="1"/>
                <w:color w:val="454545"/>
              </w:rPr>
              <w:t>products</w:t>
            </w:r>
          </w:p>
        </w:tc>
        <w:tc>
          <w:tcPr>
            <w:tcW w:w="22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center"/>
              <w:ind w:right="119"/>
              <w:spacing w:after="0"/>
              <w:rPr>
                <w:sz w:val="20"/>
                <w:szCs w:val="20"/>
                <w:color w:val="auto"/>
              </w:rPr>
            </w:pPr>
            <w:r>
              <w:rPr>
                <w:rFonts w:ascii="Arial" w:cs="Arial" w:eastAsia="Arial" w:hAnsi="Arial"/>
                <w:sz w:val="16"/>
                <w:szCs w:val="16"/>
                <w:b w:val="1"/>
                <w:bCs w:val="1"/>
                <w:color w:val="454545"/>
                <w:w w:val="99"/>
              </w:rPr>
              <w:t>services</w:t>
            </w:r>
          </w:p>
        </w:tc>
        <w:tc>
          <w:tcPr>
            <w:tcW w:w="26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center"/>
              <w:ind w:right="179"/>
              <w:spacing w:after="0"/>
              <w:rPr>
                <w:sz w:val="20"/>
                <w:szCs w:val="20"/>
                <w:color w:val="auto"/>
              </w:rPr>
            </w:pPr>
            <w:r>
              <w:rPr>
                <w:rFonts w:ascii="Arial" w:cs="Arial" w:eastAsia="Arial" w:hAnsi="Arial"/>
                <w:sz w:val="16"/>
                <w:szCs w:val="16"/>
                <w:b w:val="1"/>
                <w:bCs w:val="1"/>
                <w:color w:val="454545"/>
                <w:w w:val="99"/>
              </w:rPr>
              <w:t>SG&amp;A</w:t>
            </w:r>
          </w:p>
        </w:tc>
        <w:tc>
          <w:tcPr>
            <w:tcW w:w="1480" w:type="dxa"/>
            <w:vAlign w:val="bottom"/>
            <w:tcBorders>
              <w:bottom w:val="single" w:sz="8" w:color="6022A6"/>
            </w:tcBorders>
            <w:gridSpan w:val="2"/>
          </w:tcPr>
          <w:p>
            <w:pPr>
              <w:jc w:val="center"/>
              <w:ind w:right="15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c>
          <w:tcPr>
            <w:tcW w:w="0" w:type="dxa"/>
            <w:vAlign w:val="bottom"/>
          </w:tcPr>
          <w:p>
            <w:pPr>
              <w:spacing w:after="0"/>
              <w:rPr>
                <w:sz w:val="1"/>
                <w:szCs w:val="1"/>
                <w:color w:val="auto"/>
              </w:rPr>
            </w:pP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E4E4E4"/>
            </w:tcBorders>
            <w:gridSpan w:val="2"/>
            <w:shd w:val="clear" w:color="auto" w:fill="E4E4E4"/>
          </w:tcPr>
          <w:p>
            <w:pPr>
              <w:ind w:left="760"/>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31</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11</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4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20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shd w:val="clear" w:color="auto" w:fill="E4E4E4"/>
          </w:tcPr>
          <w:p>
            <w:pPr>
              <w:spacing w:after="0"/>
              <w:rPr>
                <w:sz w:val="21"/>
                <w:szCs w:val="21"/>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auto"/>
            </w:tcBorders>
            <w:shd w:val="clear" w:color="auto" w:fill="E4E4E4"/>
          </w:tcPr>
          <w:p>
            <w:pPr>
              <w:spacing w:after="0"/>
              <w:rPr>
                <w:sz w:val="21"/>
                <w:szCs w:val="21"/>
                <w:color w:val="auto"/>
              </w:rPr>
            </w:pP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42</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360" w:type="dxa"/>
            <w:vAlign w:val="bottom"/>
          </w:tcPr>
          <w:p>
            <w:pPr>
              <w:jc w:val="right"/>
              <w:ind w:right="179"/>
              <w:spacing w:after="0"/>
              <w:rPr>
                <w:sz w:val="20"/>
                <w:szCs w:val="20"/>
                <w:color w:val="auto"/>
              </w:rPr>
            </w:pPr>
            <w:r>
              <w:rPr>
                <w:rFonts w:ascii="Arial" w:cs="Arial" w:eastAsia="Arial" w:hAnsi="Arial"/>
                <w:sz w:val="16"/>
                <w:szCs w:val="16"/>
                <w:color w:val="auto"/>
              </w:rPr>
              <w:t>(103)</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20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E4E4E4"/>
            </w:tcBorders>
            <w:shd w:val="clear" w:color="auto" w:fill="E4E4E4"/>
          </w:tcPr>
          <w:p>
            <w:pPr>
              <w:spacing w:after="0"/>
              <w:rPr>
                <w:sz w:val="22"/>
                <w:szCs w:val="22"/>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76</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(27)</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20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(37)</w:t>
            </w:r>
          </w:p>
        </w:tc>
        <w:tc>
          <w:tcPr>
            <w:tcW w:w="22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w:t>
            </w:r>
          </w:p>
        </w:tc>
        <w:tc>
          <w:tcPr>
            <w:tcW w:w="26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Borders>
              <w:bottom w:val="single" w:sz="8" w:color="E4E4E4"/>
            </w:tcBorders>
            <w:shd w:val="clear" w:color="auto" w:fill="E4E4E4"/>
          </w:tcPr>
          <w:p>
            <w:pPr>
              <w:spacing w:after="0"/>
              <w:rPr>
                <w:sz w:val="20"/>
                <w:szCs w:val="20"/>
                <w:color w:val="auto"/>
              </w:rPr>
            </w:pP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0"/>
        </w:trPr>
        <w:tc>
          <w:tcPr>
            <w:tcW w:w="4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20" w:type="dxa"/>
            <w:vAlign w:val="bottom"/>
            <w:gridSpan w:val="5"/>
          </w:tcPr>
          <w:p>
            <w:pPr>
              <w:jc w:val="center"/>
              <w:ind w:right="119"/>
              <w:spacing w:after="0"/>
              <w:rPr>
                <w:sz w:val="20"/>
                <w:szCs w:val="20"/>
                <w:color w:val="auto"/>
              </w:rPr>
            </w:pPr>
            <w:r>
              <w:rPr>
                <w:rFonts w:ascii="Arial" w:cs="Arial" w:eastAsia="Arial" w:hAnsi="Arial"/>
                <w:sz w:val="16"/>
                <w:szCs w:val="16"/>
                <w:b w:val="1"/>
                <w:bCs w:val="1"/>
                <w:color w:val="454545"/>
              </w:rPr>
              <w:t>For the year ended December 31, 2023</w:t>
            </w:r>
          </w:p>
        </w:tc>
        <w:tc>
          <w:tcPr>
            <w:tcW w:w="1020" w:type="dxa"/>
            <w:vAlign w:val="bottom"/>
          </w:tcPr>
          <w:p>
            <w:pPr>
              <w:spacing w:after="0"/>
              <w:rPr>
                <w:sz w:val="19"/>
                <w:szCs w:val="19"/>
                <w:color w:val="auto"/>
              </w:rPr>
            </w:pPr>
          </w:p>
        </w:tc>
      </w:tr>
      <w:tr>
        <w:trPr>
          <w:trHeight w:val="21"/>
        </w:trPr>
        <w:tc>
          <w:tcPr>
            <w:tcW w:w="4980" w:type="dxa"/>
            <w:vAlign w:val="bottom"/>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46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09"/>
        </w:trPr>
        <w:tc>
          <w:tcPr>
            <w:tcW w:w="4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tcPr>
          <w:p>
            <w:pPr>
              <w:jc w:val="center"/>
              <w:ind w:right="279"/>
              <w:spacing w:after="0"/>
              <w:rPr>
                <w:sz w:val="20"/>
                <w:szCs w:val="20"/>
                <w:color w:val="auto"/>
              </w:rPr>
            </w:pPr>
            <w:r>
              <w:rPr>
                <w:rFonts w:ascii="Arial" w:cs="Arial" w:eastAsia="Arial" w:hAnsi="Arial"/>
                <w:sz w:val="16"/>
                <w:szCs w:val="16"/>
                <w:b w:val="1"/>
                <w:bCs w:val="1"/>
                <w:color w:val="454545"/>
              </w:rPr>
              <w:t>Interest and</w:t>
            </w:r>
          </w:p>
        </w:tc>
        <w:tc>
          <w:tcPr>
            <w:tcW w:w="102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980" w:type="dxa"/>
            <w:vAlign w:val="bottom"/>
          </w:tcPr>
          <w:p>
            <w:pPr>
              <w:jc w:val="center"/>
              <w:ind w:left="179"/>
              <w:spacing w:after="0"/>
              <w:rPr>
                <w:sz w:val="20"/>
                <w:szCs w:val="20"/>
                <w:color w:val="auto"/>
              </w:rPr>
            </w:pPr>
            <w:r>
              <w:rPr>
                <w:rFonts w:ascii="Arial" w:cs="Arial" w:eastAsia="Arial" w:hAnsi="Arial"/>
                <w:sz w:val="16"/>
                <w:szCs w:val="16"/>
                <w:b w:val="1"/>
                <w:bCs w:val="1"/>
                <w:color w:val="454545"/>
              </w:rPr>
              <w:t>Cost of</w:t>
            </w:r>
          </w:p>
        </w:tc>
        <w:tc>
          <w:tcPr>
            <w:tcW w:w="240" w:type="dxa"/>
            <w:vAlign w:val="bottom"/>
          </w:tcPr>
          <w:p>
            <w:pPr>
              <w:spacing w:after="0"/>
              <w:rPr>
                <w:sz w:val="17"/>
                <w:szCs w:val="17"/>
                <w:color w:val="auto"/>
              </w:rPr>
            </w:pPr>
          </w:p>
        </w:tc>
        <w:tc>
          <w:tcPr>
            <w:tcW w:w="1020" w:type="dxa"/>
            <w:vAlign w:val="bottom"/>
          </w:tcPr>
          <w:p>
            <w:pPr>
              <w:jc w:val="center"/>
              <w:ind w:left="219"/>
              <w:spacing w:after="0"/>
              <w:rPr>
                <w:sz w:val="20"/>
                <w:szCs w:val="20"/>
                <w:color w:val="auto"/>
              </w:rPr>
            </w:pPr>
            <w:r>
              <w:rPr>
                <w:rFonts w:ascii="Arial" w:cs="Arial" w:eastAsia="Arial" w:hAnsi="Arial"/>
                <w:sz w:val="16"/>
                <w:szCs w:val="16"/>
                <w:b w:val="1"/>
                <w:bCs w:val="1"/>
                <w:color w:val="454545"/>
              </w:rPr>
              <w:t>Cost of</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454545"/>
              </w:rPr>
              <w:t>other financial</w:t>
            </w:r>
          </w:p>
        </w:tc>
        <w:tc>
          <w:tcPr>
            <w:tcW w:w="1020" w:type="dxa"/>
            <w:vAlign w:val="bottom"/>
          </w:tcPr>
          <w:p>
            <w:pPr>
              <w:spacing w:after="0"/>
              <w:rPr>
                <w:sz w:val="17"/>
                <w:szCs w:val="17"/>
                <w:color w:val="auto"/>
              </w:rPr>
            </w:pPr>
          </w:p>
        </w:tc>
      </w:tr>
      <w:tr>
        <w:trPr>
          <w:trHeight w:val="244"/>
        </w:trPr>
        <w:tc>
          <w:tcPr>
            <w:tcW w:w="4980" w:type="dxa"/>
            <w:vAlign w:val="bottom"/>
            <w:tcBorders>
              <w:bottom w:val="single" w:sz="8" w:color="6022A6"/>
            </w:tcBorders>
          </w:tcPr>
          <w:p>
            <w:pPr>
              <w:spacing w:after="0"/>
              <w:rPr>
                <w:sz w:val="21"/>
                <w:szCs w:val="21"/>
                <w:color w:val="auto"/>
              </w:rPr>
            </w:pPr>
          </w:p>
        </w:tc>
        <w:tc>
          <w:tcPr>
            <w:tcW w:w="980" w:type="dxa"/>
            <w:vAlign w:val="bottom"/>
            <w:tcBorders>
              <w:bottom w:val="single" w:sz="8" w:color="6022A6"/>
            </w:tcBorders>
          </w:tcPr>
          <w:p>
            <w:pPr>
              <w:jc w:val="center"/>
              <w:ind w:left="199"/>
              <w:spacing w:after="0"/>
              <w:rPr>
                <w:sz w:val="20"/>
                <w:szCs w:val="20"/>
                <w:color w:val="auto"/>
              </w:rPr>
            </w:pPr>
            <w:r>
              <w:rPr>
                <w:rFonts w:ascii="Arial" w:cs="Arial" w:eastAsia="Arial" w:hAnsi="Arial"/>
                <w:sz w:val="16"/>
                <w:szCs w:val="16"/>
                <w:b w:val="1"/>
                <w:bCs w:val="1"/>
                <w:color w:val="454545"/>
              </w:rPr>
              <w:t>products</w:t>
            </w:r>
          </w:p>
        </w:tc>
        <w:tc>
          <w:tcPr>
            <w:tcW w:w="240" w:type="dxa"/>
            <w:vAlign w:val="bottom"/>
            <w:tcBorders>
              <w:bottom w:val="single" w:sz="8" w:color="6022A6"/>
            </w:tcBorders>
          </w:tcPr>
          <w:p>
            <w:pPr>
              <w:spacing w:after="0"/>
              <w:rPr>
                <w:sz w:val="21"/>
                <w:szCs w:val="21"/>
                <w:color w:val="auto"/>
              </w:rPr>
            </w:pPr>
          </w:p>
        </w:tc>
        <w:tc>
          <w:tcPr>
            <w:tcW w:w="1020" w:type="dxa"/>
            <w:vAlign w:val="bottom"/>
            <w:tcBorders>
              <w:bottom w:val="single" w:sz="8" w:color="6022A6"/>
            </w:tcBorders>
          </w:tcPr>
          <w:p>
            <w:pPr>
              <w:jc w:val="center"/>
              <w:ind w:left="219"/>
              <w:spacing w:after="0"/>
              <w:rPr>
                <w:sz w:val="20"/>
                <w:szCs w:val="20"/>
                <w:color w:val="auto"/>
              </w:rPr>
            </w:pPr>
            <w:r>
              <w:rPr>
                <w:rFonts w:ascii="Arial" w:cs="Arial" w:eastAsia="Arial" w:hAnsi="Arial"/>
                <w:sz w:val="16"/>
                <w:szCs w:val="16"/>
                <w:b w:val="1"/>
                <w:bCs w:val="1"/>
                <w:color w:val="454545"/>
                <w:w w:val="99"/>
              </w:rPr>
              <w:t>services</w:t>
            </w:r>
          </w:p>
        </w:tc>
        <w:tc>
          <w:tcPr>
            <w:tcW w:w="240" w:type="dxa"/>
            <w:vAlign w:val="bottom"/>
            <w:tcBorders>
              <w:bottom w:val="single" w:sz="8" w:color="6022A6"/>
            </w:tcBorders>
          </w:tcPr>
          <w:p>
            <w:pPr>
              <w:spacing w:after="0"/>
              <w:rPr>
                <w:sz w:val="21"/>
                <w:szCs w:val="21"/>
                <w:color w:val="auto"/>
              </w:rPr>
            </w:pPr>
          </w:p>
        </w:tc>
        <w:tc>
          <w:tcPr>
            <w:tcW w:w="940" w:type="dxa"/>
            <w:vAlign w:val="bottom"/>
            <w:tcBorders>
              <w:bottom w:val="single" w:sz="8" w:color="6022A6"/>
            </w:tcBorders>
          </w:tcPr>
          <w:p>
            <w:pPr>
              <w:jc w:val="center"/>
              <w:ind w:left="279"/>
              <w:spacing w:after="0"/>
              <w:rPr>
                <w:sz w:val="20"/>
                <w:szCs w:val="20"/>
                <w:color w:val="auto"/>
              </w:rPr>
            </w:pPr>
            <w:r>
              <w:rPr>
                <w:rFonts w:ascii="Arial" w:cs="Arial" w:eastAsia="Arial" w:hAnsi="Arial"/>
                <w:sz w:val="16"/>
                <w:szCs w:val="16"/>
                <w:b w:val="1"/>
                <w:bCs w:val="1"/>
                <w:color w:val="454545"/>
                <w:w w:val="99"/>
              </w:rPr>
              <w:t>SG&amp;A</w:t>
            </w:r>
          </w:p>
        </w:tc>
        <w:tc>
          <w:tcPr>
            <w:tcW w:w="1820" w:type="dxa"/>
            <w:vAlign w:val="bottom"/>
            <w:tcBorders>
              <w:bottom w:val="single" w:sz="8" w:color="6022A6"/>
            </w:tcBorders>
            <w:gridSpan w:val="2"/>
          </w:tcPr>
          <w:p>
            <w:pPr>
              <w:jc w:val="center"/>
              <w:ind w:left="19"/>
              <w:spacing w:after="0"/>
              <w:rPr>
                <w:sz w:val="20"/>
                <w:szCs w:val="20"/>
                <w:color w:val="auto"/>
              </w:rPr>
            </w:pPr>
            <w:r>
              <w:rPr>
                <w:rFonts w:ascii="Arial" w:cs="Arial" w:eastAsia="Arial" w:hAnsi="Arial"/>
                <w:sz w:val="16"/>
                <w:szCs w:val="16"/>
                <w:b w:val="1"/>
                <w:bCs w:val="1"/>
                <w:color w:val="454545"/>
              </w:rPr>
              <w:t>charges – net</w:t>
            </w:r>
          </w:p>
        </w:tc>
        <w:tc>
          <w:tcPr>
            <w:tcW w:w="10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Other</w:t>
            </w:r>
            <w:r>
              <w:rPr>
                <w:rFonts w:ascii="Arial" w:cs="Arial" w:eastAsia="Arial" w:hAnsi="Arial"/>
                <w:sz w:val="21"/>
                <w:szCs w:val="21"/>
                <w:b w:val="1"/>
                <w:bCs w:val="1"/>
                <w:color w:val="454545"/>
                <w:vertAlign w:val="superscript"/>
              </w:rPr>
              <w:t>(4)</w:t>
            </w:r>
          </w:p>
        </w:tc>
      </w:tr>
      <w:tr>
        <w:trPr>
          <w:trHeight w:val="255"/>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1020" w:type="dxa"/>
            <w:vAlign w:val="bottom"/>
            <w:tcBorders>
              <w:bottom w:val="single" w:sz="8" w:color="E4E4E4"/>
            </w:tcBorders>
            <w:shd w:val="clear" w:color="auto" w:fill="E4E4E4"/>
          </w:tcPr>
          <w:p>
            <w:pPr>
              <w:jc w:val="right"/>
              <w:ind w:right="79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w:t>
            </w:r>
          </w:p>
        </w:tc>
        <w:tc>
          <w:tcPr>
            <w:tcW w:w="940" w:type="dxa"/>
            <w:vAlign w:val="bottom"/>
            <w:tcBorders>
              <w:bottom w:val="single" w:sz="8" w:color="E4E4E4"/>
            </w:tcBorders>
            <w:shd w:val="clear" w:color="auto" w:fill="E4E4E4"/>
          </w:tcPr>
          <w:p>
            <w:pPr>
              <w:jc w:val="right"/>
              <w:ind w:right="7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cash flow hedges</w:t>
            </w: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Cross-currency swaps</w:t>
            </w:r>
          </w:p>
        </w:tc>
        <w:tc>
          <w:tcPr>
            <w:tcW w:w="9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34</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4980" w:type="dxa"/>
            <w:vAlign w:val="bottom"/>
          </w:tcPr>
          <w:p>
            <w:pPr>
              <w:ind w:left="20"/>
              <w:spacing w:after="0"/>
              <w:rPr>
                <w:sz w:val="20"/>
                <w:szCs w:val="20"/>
                <w:color w:val="auto"/>
              </w:rPr>
            </w:pPr>
            <w:r>
              <w:rPr>
                <w:rFonts w:ascii="Arial" w:cs="Arial" w:eastAsia="Arial" w:hAnsi="Arial"/>
                <w:sz w:val="16"/>
                <w:szCs w:val="16"/>
                <w:color w:val="auto"/>
              </w:rPr>
              <w:t>Foreign currency forward and option contracts</w:t>
            </w:r>
          </w:p>
        </w:tc>
        <w:tc>
          <w:tcPr>
            <w:tcW w:w="9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19"/>
                <w:szCs w:val="19"/>
                <w:color w:val="auto"/>
              </w:rPr>
            </w:pP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3</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49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0"/>
        </w:trPr>
        <w:tc>
          <w:tcPr>
            <w:tcW w:w="498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net investment hedges</w:t>
            </w:r>
            <w:r>
              <w:rPr>
                <w:rFonts w:ascii="Arial" w:cs="Arial" w:eastAsia="Arial" w:hAnsi="Arial"/>
                <w:sz w:val="21"/>
                <w:szCs w:val="21"/>
                <w:b w:val="1"/>
                <w:bCs w:val="1"/>
                <w:color w:val="auto"/>
                <w:vertAlign w:val="superscript"/>
              </w:rPr>
              <w:t>(1)</w:t>
            </w:r>
          </w:p>
        </w:tc>
        <w:tc>
          <w:tcPr>
            <w:tcW w:w="980" w:type="dxa"/>
            <w:vAlign w:val="bottom"/>
            <w:tcBorders>
              <w:bottom w:val="single" w:sz="8" w:color="auto"/>
            </w:tcBorders>
            <w:shd w:val="clear" w:color="auto" w:fill="E4E4E4"/>
          </w:tcPr>
          <w:p>
            <w:pPr>
              <w:spacing w:after="0"/>
              <w:rPr>
                <w:sz w:val="21"/>
                <w:szCs w:val="21"/>
                <w:color w:val="auto"/>
              </w:rPr>
            </w:pP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shd w:val="clear" w:color="auto" w:fill="E4E4E4"/>
          </w:tcPr>
          <w:p>
            <w:pPr>
              <w:spacing w:after="0"/>
              <w:rPr>
                <w:sz w:val="21"/>
                <w:szCs w:val="21"/>
                <w:color w:val="auto"/>
              </w:rPr>
            </w:pPr>
          </w:p>
        </w:tc>
        <w:tc>
          <w:tcPr>
            <w:tcW w:w="2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E4E4E4"/>
          </w:tcPr>
          <w:p>
            <w:pPr>
              <w:spacing w:after="0"/>
              <w:rPr>
                <w:sz w:val="21"/>
                <w:szCs w:val="21"/>
                <w:color w:val="auto"/>
              </w:rPr>
            </w:pPr>
          </w:p>
        </w:tc>
        <w:tc>
          <w:tcPr>
            <w:tcW w:w="460" w:type="dxa"/>
            <w:vAlign w:val="bottom"/>
            <w:tcBorders>
              <w:bottom w:val="single" w:sz="8" w:color="auto"/>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37</w:t>
            </w:r>
          </w:p>
        </w:tc>
        <w:tc>
          <w:tcPr>
            <w:tcW w:w="10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r>
      <w:tr>
        <w:trPr>
          <w:trHeight w:val="250"/>
        </w:trPr>
        <w:tc>
          <w:tcPr>
            <w:tcW w:w="4980" w:type="dxa"/>
            <w:vAlign w:val="bottom"/>
          </w:tcPr>
          <w:p>
            <w:pPr>
              <w:ind w:left="2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(2)</w:t>
            </w:r>
          </w:p>
        </w:tc>
        <w:tc>
          <w:tcPr>
            <w:tcW w:w="98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spacing w:after="0"/>
              <w:rPr>
                <w:sz w:val="21"/>
                <w:szCs w:val="21"/>
                <w:color w:val="auto"/>
              </w:rPr>
            </w:pPr>
          </w:p>
        </w:tc>
        <w:tc>
          <w:tcPr>
            <w:tcW w:w="4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219"/>
              <w:spacing w:after="0"/>
              <w:rPr>
                <w:sz w:val="20"/>
                <w:szCs w:val="20"/>
                <w:color w:val="auto"/>
              </w:rPr>
            </w:pPr>
            <w:r>
              <w:rPr>
                <w:rFonts w:ascii="Arial" w:cs="Arial" w:eastAsia="Arial" w:hAnsi="Arial"/>
                <w:sz w:val="16"/>
                <w:szCs w:val="16"/>
                <w:color w:val="auto"/>
              </w:rPr>
              <w:t>24</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62"/>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Debt basis adjustment on Long-term borrowings</w:t>
            </w:r>
          </w:p>
        </w:tc>
        <w:tc>
          <w:tcPr>
            <w:tcW w:w="98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spacing w:after="0"/>
              <w:rPr>
                <w:sz w:val="22"/>
                <w:szCs w:val="22"/>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E4E4E4"/>
            </w:tcBorders>
            <w:shd w:val="clear" w:color="auto" w:fill="E4E4E4"/>
          </w:tcPr>
          <w:p>
            <w:pPr>
              <w:spacing w:after="0"/>
              <w:rPr>
                <w:sz w:val="22"/>
                <w:szCs w:val="22"/>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(25)</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49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Effects of fair value hedges</w:t>
            </w:r>
          </w:p>
        </w:tc>
        <w:tc>
          <w:tcPr>
            <w:tcW w:w="9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
        </w:trPr>
        <w:tc>
          <w:tcPr>
            <w:tcW w:w="4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Foreign currency forward contracts</w:t>
            </w:r>
          </w:p>
        </w:tc>
        <w:tc>
          <w:tcPr>
            <w:tcW w:w="9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102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94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w:t>
            </w:r>
          </w:p>
        </w:tc>
      </w:tr>
      <w:tr>
        <w:trPr>
          <w:trHeight w:val="257"/>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derivatives</w:t>
            </w:r>
            <w:r>
              <w:rPr>
                <w:rFonts w:ascii="Arial" w:cs="Arial" w:eastAsia="Arial" w:hAnsi="Arial"/>
                <w:sz w:val="21"/>
                <w:szCs w:val="21"/>
                <w:color w:val="auto"/>
                <w:vertAlign w:val="superscript"/>
              </w:rPr>
              <w:t>(3)</w:t>
            </w:r>
          </w:p>
        </w:tc>
        <w:tc>
          <w:tcPr>
            <w:tcW w:w="9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w:t>
            </w: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230"/>
        </w:trPr>
        <w:tc>
          <w:tcPr>
            <w:tcW w:w="49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Effects of derivatives not designated as hedging instruments</w:t>
            </w:r>
          </w:p>
        </w:tc>
        <w:tc>
          <w:tcPr>
            <w:tcW w:w="98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1020" w:type="dxa"/>
            <w:vAlign w:val="bottom"/>
            <w:tcBorders>
              <w:bottom w:val="single" w:sz="8" w:color="E4E4E4"/>
            </w:tcBorders>
            <w:shd w:val="clear" w:color="auto" w:fill="E4E4E4"/>
          </w:tcPr>
          <w:p>
            <w:pPr>
              <w:spacing w:after="0"/>
              <w:rPr>
                <w:sz w:val="20"/>
                <w:szCs w:val="20"/>
                <w:color w:val="auto"/>
              </w:rPr>
            </w:pPr>
          </w:p>
        </w:tc>
        <w:tc>
          <w:tcPr>
            <w:tcW w:w="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w:t>
            </w:r>
          </w:p>
        </w:tc>
        <w:tc>
          <w:tcPr>
            <w:tcW w:w="940" w:type="dxa"/>
            <w:vAlign w:val="bottom"/>
            <w:tcBorders>
              <w:bottom w:val="single" w:sz="8" w:color="E4E4E4"/>
            </w:tcBorders>
            <w:shd w:val="clear" w:color="auto" w:fill="E4E4E4"/>
          </w:tcPr>
          <w:p>
            <w:pPr>
              <w:spacing w:after="0"/>
              <w:rPr>
                <w:sz w:val="20"/>
                <w:szCs w:val="20"/>
                <w:color w:val="auto"/>
              </w:rPr>
            </w:pPr>
          </w:p>
        </w:tc>
        <w:tc>
          <w:tcPr>
            <w:tcW w:w="460" w:type="dxa"/>
            <w:vAlign w:val="bottom"/>
            <w:tcBorders>
              <w:bottom w:val="single" w:sz="8" w:color="E4E4E4"/>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10</w:t>
            </w:r>
          </w:p>
        </w:tc>
        <w:tc>
          <w:tcPr>
            <w:tcW w:w="136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w:t>
            </w:r>
          </w:p>
        </w:tc>
      </w:tr>
      <w:tr>
        <w:trPr>
          <w:trHeight w:val="20"/>
        </w:trPr>
        <w:tc>
          <w:tcPr>
            <w:tcW w:w="49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300" w:hanging="252"/>
        <w:spacing w:after="0" w:line="263" w:lineRule="auto"/>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fair value related to components other than the spot rate are excluded from effectiveness testing for the years ended December 31, 2025, 2024, and 2023.</w:t>
      </w:r>
    </w:p>
    <w:p>
      <w:pPr>
        <w:ind w:left="260" w:right="380" w:hanging="252"/>
        <w:spacing w:after="0" w:line="249" w:lineRule="auto"/>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Amount includes interest expense on interest rate derivatives of $(15) million, $(27) million, and $(1) million for the years ended December 31, 2025, 2024, and 2023 respectively.</w:t>
      </w: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derivatives are comprised of embedded derivatives and derivatives related to equity contracts.</w:t>
      </w:r>
    </w:p>
    <w:p>
      <w:pPr>
        <w:spacing w:after="0" w:line="14" w:lineRule="exact"/>
        <w:rPr>
          <w:rFonts w:ascii="Arial" w:cs="Arial" w:eastAsia="Arial" w:hAnsi="Arial"/>
          <w:sz w:val="16"/>
          <w:szCs w:val="16"/>
          <w:color w:val="auto"/>
        </w:rPr>
      </w:pPr>
    </w:p>
    <w:p>
      <w:pPr>
        <w:ind w:left="260" w:hanging="252"/>
        <w:spacing w:after="0"/>
        <w:tabs>
          <w:tab w:leader="none" w:pos="2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Amounts are inclusive of gains (losses) in Other (income) expense – net in the Consolidated Statements of Income.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Counterparty Credit Risk</w:t>
      </w:r>
    </w:p>
    <w:p>
      <w:pPr>
        <w:spacing w:after="0" w:line="29"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Company would be exposed to credit-related losses in the event of non-performance by counterparties on executed derivative instruments. The credit exposure of derivative contracts is represented by the fair value of contracts as of the reporting date. The fair value of the Company’s derivatives can change significantly from period to period based on, among other factors, market movements, and changes in our positions.</w:t>
      </w:r>
    </w:p>
    <w:p>
      <w:pPr>
        <w:spacing w:after="0" w:line="21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We manage concentration of counterparty credit risk by limiting acceptable counterparties to major financial institutions with investment grade credit ratings, by limiting the amount of credit exposure to individual counterparties, and by actively monitoring counterparty credit ratings and the amount of individual credit exposure.</w:t>
      </w:r>
    </w:p>
    <w:p>
      <w:pPr>
        <w:spacing w:after="0" w:line="191"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color w:val="auto"/>
        </w:rPr>
        <w:t>We also employ master netting arrangements that limit the risk of counterparty non-payment on a particular settlement date to the net gain that would have otherwise been received from the counterparty. Although not completely eliminated, we do not consider the risk of counterparty default to be significant as a result of these protections. None of our derivative instruments are subject to collateral or other security arrangements, nor do they contain provisions that are dependent on our credit ratings from any credit rating agency.</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assets and liabilities that are recorded and measured at fair value on a recurring basis.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540" w:type="dxa"/>
            <w:vAlign w:val="bottom"/>
            <w:gridSpan w:val="4"/>
          </w:tcPr>
          <w:p>
            <w:pPr>
              <w:ind w:left="20"/>
              <w:spacing w:after="0"/>
              <w:rPr>
                <w:sz w:val="20"/>
                <w:szCs w:val="20"/>
                <w:color w:val="auto"/>
              </w:rPr>
            </w:pPr>
            <w:r>
              <w:rPr>
                <w:rFonts w:ascii="Arial" w:cs="Arial" w:eastAsia="Arial" w:hAnsi="Arial"/>
                <w:sz w:val="16"/>
                <w:szCs w:val="16"/>
                <w:b w:val="1"/>
                <w:bCs w:val="1"/>
                <w:color w:val="auto"/>
              </w:rPr>
              <w:t>Fair Value of Assets and Liabilities Measured on a Recurring Basis</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6"/>
        </w:trPr>
        <w:tc>
          <w:tcPr>
            <w:tcW w:w="3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40" w:type="dxa"/>
            <w:vAlign w:val="bottom"/>
            <w:gridSpan w:val="4"/>
          </w:tcPr>
          <w:p>
            <w:pPr>
              <w:jc w:val="right"/>
              <w:ind w:right="99"/>
              <w:spacing w:after="0"/>
              <w:rPr>
                <w:sz w:val="20"/>
                <w:szCs w:val="20"/>
                <w:color w:val="auto"/>
              </w:rPr>
            </w:pPr>
            <w:r>
              <w:rPr>
                <w:rFonts w:ascii="Arial" w:cs="Arial" w:eastAsia="Arial" w:hAnsi="Arial"/>
                <w:sz w:val="16"/>
                <w:szCs w:val="16"/>
                <w:b w:val="1"/>
                <w:bCs w:val="1"/>
                <w:color w:val="454545"/>
              </w:rPr>
              <w:t>As of December 31, 2025</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40" w:type="dxa"/>
            <w:vAlign w:val="bottom"/>
            <w:gridSpan w:val="4"/>
          </w:tcPr>
          <w:p>
            <w:pPr>
              <w:jc w:val="right"/>
              <w:ind w:right="79"/>
              <w:spacing w:after="0"/>
              <w:rPr>
                <w:sz w:val="20"/>
                <w:szCs w:val="20"/>
                <w:color w:val="auto"/>
              </w:rPr>
            </w:pPr>
            <w:r>
              <w:rPr>
                <w:rFonts w:ascii="Arial" w:cs="Arial" w:eastAsia="Arial" w:hAnsi="Arial"/>
                <w:sz w:val="16"/>
                <w:szCs w:val="16"/>
                <w:b w:val="1"/>
                <w:bCs w:val="1"/>
                <w:color w:val="454545"/>
              </w:rPr>
              <w:t>As of December 31, 2024</w:t>
            </w:r>
          </w:p>
        </w:tc>
        <w:tc>
          <w:tcPr>
            <w:tcW w:w="740" w:type="dxa"/>
            <w:vAlign w:val="bottom"/>
          </w:tcPr>
          <w:p>
            <w:pPr>
              <w:spacing w:after="0"/>
              <w:rPr>
                <w:sz w:val="22"/>
                <w:szCs w:val="22"/>
                <w:color w:val="auto"/>
              </w:rPr>
            </w:pPr>
          </w:p>
        </w:tc>
      </w:tr>
      <w:tr>
        <w:trPr>
          <w:trHeight w:val="21"/>
        </w:trPr>
        <w:tc>
          <w:tcPr>
            <w:tcW w:w="3700" w:type="dxa"/>
            <w:vAlign w:val="bottom"/>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740" w:type="dxa"/>
            <w:vAlign w:val="bottom"/>
            <w:tcBorders>
              <w:bottom w:val="single" w:sz="8" w:color="454545"/>
            </w:tcBorders>
          </w:tcPr>
          <w:p>
            <w:pPr>
              <w:spacing w:after="0" w:line="20" w:lineRule="exact"/>
              <w:rPr>
                <w:sz w:val="1"/>
                <w:szCs w:val="1"/>
                <w:color w:val="auto"/>
              </w:rPr>
            </w:pPr>
          </w:p>
        </w:tc>
      </w:tr>
      <w:tr>
        <w:trPr>
          <w:trHeight w:val="229"/>
        </w:trPr>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454545"/>
              </w:rPr>
              <w:t>Level 2</w:t>
            </w:r>
          </w:p>
        </w:tc>
        <w:tc>
          <w:tcPr>
            <w:tcW w:w="18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820" w:type="dxa"/>
            <w:vAlign w:val="bottom"/>
            <w:gridSpan w:val="2"/>
          </w:tcPr>
          <w:p>
            <w:pPr>
              <w:ind w:left="80"/>
              <w:spacing w:after="0"/>
              <w:rPr>
                <w:sz w:val="20"/>
                <w:szCs w:val="20"/>
                <w:color w:val="auto"/>
              </w:rPr>
            </w:pPr>
            <w:r>
              <w:rPr>
                <w:rFonts w:ascii="Arial" w:cs="Arial" w:eastAsia="Arial" w:hAnsi="Arial"/>
                <w:sz w:val="16"/>
                <w:szCs w:val="16"/>
                <w:b w:val="1"/>
                <w:bCs w:val="1"/>
                <w:color w:val="454545"/>
              </w:rPr>
              <w:t>Total</w:t>
            </w:r>
          </w:p>
        </w:tc>
        <w:tc>
          <w:tcPr>
            <w:tcW w:w="140" w:type="dxa"/>
            <w:vAlign w:val="bottom"/>
          </w:tcPr>
          <w:p>
            <w:pPr>
              <w:spacing w:after="0"/>
              <w:rPr>
                <w:sz w:val="19"/>
                <w:szCs w:val="19"/>
                <w:color w:val="auto"/>
              </w:rPr>
            </w:pPr>
          </w:p>
        </w:tc>
        <w:tc>
          <w:tcPr>
            <w:tcW w:w="940" w:type="dxa"/>
            <w:vAlign w:val="bottom"/>
          </w:tcPr>
          <w:p>
            <w:pPr>
              <w:jc w:val="right"/>
              <w:ind w:right="259"/>
              <w:spacing w:after="0"/>
              <w:rPr>
                <w:sz w:val="20"/>
                <w:szCs w:val="20"/>
                <w:color w:val="auto"/>
              </w:rPr>
            </w:pPr>
            <w:r>
              <w:rPr>
                <w:rFonts w:ascii="Arial" w:cs="Arial" w:eastAsia="Arial" w:hAnsi="Arial"/>
                <w:sz w:val="16"/>
                <w:szCs w:val="16"/>
                <w:b w:val="1"/>
                <w:bCs w:val="1"/>
                <w:color w:val="454545"/>
              </w:rPr>
              <w:t>Level 1</w:t>
            </w:r>
          </w:p>
        </w:tc>
        <w:tc>
          <w:tcPr>
            <w:tcW w:w="760" w:type="dxa"/>
            <w:vAlign w:val="bottom"/>
          </w:tcPr>
          <w:p>
            <w:pPr>
              <w:jc w:val="right"/>
              <w:ind w:right="99"/>
              <w:spacing w:after="0"/>
              <w:rPr>
                <w:sz w:val="20"/>
                <w:szCs w:val="20"/>
                <w:color w:val="auto"/>
              </w:rPr>
            </w:pPr>
            <w:r>
              <w:rPr>
                <w:rFonts w:ascii="Arial" w:cs="Arial" w:eastAsia="Arial" w:hAnsi="Arial"/>
                <w:sz w:val="16"/>
                <w:szCs w:val="16"/>
                <w:b w:val="1"/>
                <w:bCs w:val="1"/>
                <w:color w:val="454545"/>
              </w:rPr>
              <w:t>Level 2</w:t>
            </w:r>
          </w:p>
        </w:tc>
        <w:tc>
          <w:tcPr>
            <w:tcW w:w="160" w:type="dxa"/>
            <w:vAlign w:val="bottom"/>
          </w:tcPr>
          <w:p>
            <w:pPr>
              <w:spacing w:after="0"/>
              <w:rPr>
                <w:sz w:val="19"/>
                <w:szCs w:val="19"/>
                <w:color w:val="auto"/>
              </w:rPr>
            </w:pPr>
          </w:p>
        </w:tc>
        <w:tc>
          <w:tcPr>
            <w:tcW w:w="980" w:type="dxa"/>
            <w:vAlign w:val="bottom"/>
          </w:tcPr>
          <w:p>
            <w:pPr>
              <w:jc w:val="right"/>
              <w:ind w:right="299"/>
              <w:spacing w:after="0"/>
              <w:rPr>
                <w:sz w:val="20"/>
                <w:szCs w:val="20"/>
                <w:color w:val="auto"/>
              </w:rPr>
            </w:pPr>
            <w:r>
              <w:rPr>
                <w:rFonts w:ascii="Arial" w:cs="Arial" w:eastAsia="Arial" w:hAnsi="Arial"/>
                <w:sz w:val="16"/>
                <w:szCs w:val="16"/>
                <w:b w:val="1"/>
                <w:bCs w:val="1"/>
                <w:color w:val="454545"/>
              </w:rPr>
              <w:t>Level 3</w:t>
            </w:r>
          </w:p>
        </w:tc>
        <w:tc>
          <w:tcPr>
            <w:tcW w:w="740" w:type="dxa"/>
            <w:vAlign w:val="bottom"/>
          </w:tcPr>
          <w:p>
            <w:pPr>
              <w:jc w:val="right"/>
              <w:ind w:right="19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70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40" w:type="dxa"/>
            <w:vAlign w:val="bottom"/>
            <w:tcBorders>
              <w:bottom w:val="single" w:sz="8" w:color="6022A6"/>
            </w:tcBorders>
          </w:tcPr>
          <w:p>
            <w:pPr>
              <w:spacing w:after="0" w:line="20" w:lineRule="exact"/>
              <w:rPr>
                <w:sz w:val="1"/>
                <w:szCs w:val="1"/>
                <w:color w:val="auto"/>
              </w:rPr>
            </w:pPr>
          </w:p>
        </w:tc>
        <w:tc>
          <w:tcPr>
            <w:tcW w:w="76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740" w:type="dxa"/>
            <w:vAlign w:val="bottom"/>
            <w:tcBorders>
              <w:bottom w:val="single" w:sz="8" w:color="6022A6"/>
            </w:tcBorders>
          </w:tcPr>
          <w:p>
            <w:pPr>
              <w:spacing w:after="0" w:line="20" w:lineRule="exact"/>
              <w:rPr>
                <w:sz w:val="1"/>
                <w:szCs w:val="1"/>
                <w:color w:val="auto"/>
              </w:rPr>
            </w:pPr>
          </w:p>
        </w:tc>
      </w:tr>
      <w:tr>
        <w:trPr>
          <w:trHeight w:val="230"/>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Money market funds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399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399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 $</w:t>
            </w:r>
          </w:p>
        </w:tc>
        <w:tc>
          <w:tcPr>
            <w:tcW w:w="760" w:type="dxa"/>
            <w:vAlign w:val="bottom"/>
          </w:tcPr>
          <w:p>
            <w:pPr>
              <w:jc w:val="right"/>
              <w:spacing w:after="0"/>
              <w:rPr>
                <w:sz w:val="20"/>
                <w:szCs w:val="20"/>
                <w:color w:val="auto"/>
              </w:rPr>
            </w:pPr>
            <w:r>
              <w:rPr>
                <w:rFonts w:ascii="Arial" w:cs="Arial" w:eastAsia="Arial" w:hAnsi="Arial"/>
                <w:sz w:val="16"/>
                <w:szCs w:val="16"/>
                <w:color w:val="auto"/>
              </w:rPr>
              <w:t>312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 $</w:t>
            </w:r>
          </w:p>
        </w:tc>
        <w:tc>
          <w:tcPr>
            <w:tcW w:w="740" w:type="dxa"/>
            <w:vAlign w:val="bottom"/>
          </w:tcPr>
          <w:p>
            <w:pPr>
              <w:jc w:val="right"/>
              <w:spacing w:after="0"/>
              <w:rPr>
                <w:sz w:val="20"/>
                <w:szCs w:val="20"/>
                <w:color w:val="auto"/>
              </w:rPr>
            </w:pPr>
            <w:r>
              <w:rPr>
                <w:rFonts w:ascii="Arial" w:cs="Arial" w:eastAsia="Arial" w:hAnsi="Arial"/>
                <w:sz w:val="16"/>
                <w:szCs w:val="16"/>
                <w:color w:val="auto"/>
              </w:rPr>
              <w:t>312</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Investment securities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47</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30</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32</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256</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145</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145</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Liabilities:</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740" w:type="dxa"/>
            <w:vAlign w:val="bottom"/>
            <w:tcBorders>
              <w:bottom w:val="single" w:sz="8" w:color="E4E4E4"/>
            </w:tcBorders>
            <w:shd w:val="clear" w:color="auto" w:fill="E4E4E4"/>
          </w:tcPr>
          <w:p>
            <w:pPr>
              <w:spacing w:after="0"/>
              <w:rPr>
                <w:sz w:val="20"/>
                <w:szCs w:val="20"/>
                <w:color w:val="auto"/>
              </w:rPr>
            </w:pPr>
          </w:p>
        </w:tc>
      </w:tr>
      <w:tr>
        <w:trPr>
          <w:trHeight w:val="228"/>
        </w:trPr>
        <w:tc>
          <w:tcPr>
            <w:tcW w:w="37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19"/>
                <w:szCs w:val="19"/>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207</w:t>
            </w:r>
          </w:p>
        </w:tc>
        <w:tc>
          <w:tcPr>
            <w:tcW w:w="180" w:type="dxa"/>
            <w:vAlign w:val="bottom"/>
          </w:tcPr>
          <w:p>
            <w:pPr>
              <w:spacing w:after="0"/>
              <w:rPr>
                <w:sz w:val="19"/>
                <w:szCs w:val="19"/>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155</w:t>
            </w:r>
          </w:p>
        </w:tc>
        <w:tc>
          <w:tcPr>
            <w:tcW w:w="16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155</w:t>
            </w:r>
          </w:p>
        </w:tc>
      </w:tr>
      <w:tr>
        <w:trPr>
          <w:trHeight w:val="29"/>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36"/>
        </w:trPr>
        <w:tc>
          <w:tcPr>
            <w:tcW w:w="37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Contingent consideration</w:t>
            </w:r>
          </w:p>
        </w:tc>
        <w:tc>
          <w:tcPr>
            <w:tcW w:w="16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99"/>
              <w:spacing w:after="0"/>
              <w:rPr>
                <w:sz w:val="20"/>
                <w:szCs w:val="20"/>
                <w:color w:val="auto"/>
              </w:rPr>
            </w:pPr>
            <w:r>
              <w:rPr>
                <w:rFonts w:ascii="Arial" w:cs="Arial" w:eastAsia="Arial" w:hAnsi="Arial"/>
                <w:sz w:val="16"/>
                <w:szCs w:val="16"/>
                <w:color w:val="auto"/>
              </w:rPr>
              <w:t>30</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8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40" w:type="dxa"/>
            <w:vAlign w:val="bottom"/>
            <w:tcBorders>
              <w:bottom w:val="single" w:sz="8" w:color="E4E4E4"/>
            </w:tcBorders>
            <w:shd w:val="clear" w:color="auto" w:fill="E4E4E4"/>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34</w:t>
            </w:r>
          </w:p>
        </w:tc>
        <w:tc>
          <w:tcPr>
            <w:tcW w:w="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r>
      <w:tr>
        <w:trPr>
          <w:trHeight w:val="20"/>
        </w:trPr>
        <w:tc>
          <w:tcPr>
            <w:tcW w:w="37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equivalents</w:t>
      </w:r>
    </w:p>
    <w:p>
      <w:pPr>
        <w:spacing w:after="0" w:line="19"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As of December 31, 2025 and 2024, Cash, cash equivalents, and restricted cash of $4,512 million and $2,889 million, respectively, included money market funds of $399 million and $312 million, and other cash equivalents of $3,046 million and $1,573 million, respectively. The carrying values of the other cash equivalents approximates the fair value due to their short maturities and are valued using Level 1 or Level 2 inputs. Refer to Note 18, “Supplemental Financial Information” for further information.</w:t>
      </w:r>
    </w:p>
    <w:p>
      <w:pPr>
        <w:sectPr>
          <w:pgSz w:w="11900" w:h="16838" w:orient="portrait"/>
          <w:cols w:equalWidth="0" w:num="1">
            <w:col w:w="11240"/>
          </w:cols>
          <w:pgMar w:left="320" w:top="130" w:right="339" w:bottom="95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957" w:gutter="0" w:footer="0" w:header="0"/>
          <w:type w:val="continuous"/>
        </w:sectPr>
      </w:pPr>
    </w:p>
    <w:bookmarkStart w:id="94" w:name="page95"/>
    <w:bookmarkEnd w:id="9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Derivatives are measured at fair value using a discounted cash flow method or option models using interest rates, foreign exchange spot and forward rates and yield curves observable at commonly quoted intervals, implied volatilities, and credit spreads as key inputs. Unobservable inputs relate to our own credit risk which is not significant to the overall measurement of fair value.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Contingent consideration</w:t>
      </w:r>
    </w:p>
    <w:p>
      <w:pPr>
        <w:spacing w:after="0" w:line="1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Contingent consideration is recorded at fair value based on estimates of future cash flows in connection with business acquisitions. As the valuation of these liabilities is based on inputs that are less observable or not observable in the market, the determination of fair value is classified within Level 3 of the fair value hierarchy.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29"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Changes in fair value measurements of assets and liabilities measured at fair value on a non-recurring basis, such as equity method investments, equity investments without readily determinable fair value, financing receivables, and long-lived assets, were not material for the years ended December 31, 2025, 2024, and 2023, with the exception of the gain on fair value measurement of the NMP equity method investment as described in Note 8, “Acquisitions, Goodwill, and Other Intangible Assets.”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fair value of borrowings as of December 31, 2025 and 2024 was $10,545 million and $9,374 million, respectively, compared to a carrying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value (which only includes a reduction for unamortized debt issuance costs and discounts and cumulative basis adjustment) of $10,003 million and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$8,951 million, respectively. The fair value of our borrowings includes accrued interest and is determined based on observable and quoted prices and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spreads of comparable debt and benchmark securities and is considered Level 2 in the fair value hierarchy. See Note 9, “Borrowings” and Note 18,</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“Supplemental Financial Information” for further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GUARANTEES, PRODUCT WARRANTIES, AND OTHER LOSS CONTINGENCIES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248" w:lineRule="exact"/>
        <w:rPr>
          <w:sz w:val="20"/>
          <w:szCs w:val="20"/>
          <w:color w:val="auto"/>
        </w:rPr>
      </w:pPr>
    </w:p>
    <w:p>
      <w:pPr>
        <w:ind w:right="780"/>
        <w:spacing w:after="0" w:line="286" w:lineRule="auto"/>
        <w:rPr>
          <w:sz w:val="20"/>
          <w:szCs w:val="20"/>
          <w:color w:val="auto"/>
        </w:rPr>
      </w:pPr>
      <w:r>
        <w:rPr>
          <w:rFonts w:ascii="Arial" w:cs="Arial" w:eastAsia="Arial" w:hAnsi="Arial"/>
          <w:sz w:val="16"/>
          <w:szCs w:val="16"/>
          <w:color w:val="auto"/>
        </w:rPr>
        <w:t>The Company has off-balance sheet credit exposure through standby letters of credit, bank guarantees, bid bonds, and surety bonds. See Note 9, “Borrowings” for further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WARRANTIES.</w:t>
      </w:r>
    </w:p>
    <w:p>
      <w:pPr>
        <w:spacing w:after="0" w:line="248"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We provide warranty coverage to our customers as part of customary practices in the market to provide assurance that the products we sell comply with agreed-upon specifications. We provide estimated product warranty expenses when we sell the related products. Warranty accruals are estimates that are based on the best available information, mostly historical claims experience, therefore claims costs may differ from amounts provided. An analysis of changes in the liability for product warranties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454545"/>
              </w:rPr>
              <w:t>For the years ended December 31</w:t>
            </w:r>
          </w:p>
        </w:tc>
        <w:tc>
          <w:tcPr>
            <w:tcW w:w="1380" w:type="dxa"/>
            <w:vAlign w:val="bottom"/>
          </w:tcPr>
          <w:p>
            <w:pPr>
              <w:spacing w:after="0"/>
              <w:rPr>
                <w:sz w:val="19"/>
                <w:szCs w:val="19"/>
                <w:color w:val="auto"/>
              </w:rPr>
            </w:pPr>
          </w:p>
        </w:tc>
      </w:tr>
      <w:tr>
        <w:trPr>
          <w:trHeight w:val="21"/>
        </w:trPr>
        <w:tc>
          <w:tcPr>
            <w:tcW w:w="5440" w:type="dxa"/>
            <w:vAlign w:val="bottom"/>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60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4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r>
      <w:tr>
        <w:trPr>
          <w:trHeight w:val="229"/>
        </w:trPr>
        <w:tc>
          <w:tcPr>
            <w:tcW w:w="5440" w:type="dxa"/>
            <w:vAlign w:val="bottom"/>
          </w:tcPr>
          <w:p>
            <w:pPr>
              <w:spacing w:after="0"/>
              <w:rPr>
                <w:sz w:val="19"/>
                <w:szCs w:val="19"/>
                <w:color w:val="auto"/>
              </w:rPr>
            </w:pPr>
          </w:p>
        </w:tc>
        <w:tc>
          <w:tcPr>
            <w:tcW w:w="1340" w:type="dxa"/>
            <w:vAlign w:val="bottom"/>
          </w:tcPr>
          <w:p>
            <w:pPr>
              <w:jc w:val="right"/>
              <w:ind w:right="99"/>
              <w:spacing w:after="0"/>
              <w:rPr>
                <w:sz w:val="20"/>
                <w:szCs w:val="20"/>
                <w:color w:val="auto"/>
              </w:rPr>
            </w:pPr>
            <w:r>
              <w:rPr>
                <w:rFonts w:ascii="Arial" w:cs="Arial" w:eastAsia="Arial" w:hAnsi="Arial"/>
                <w:sz w:val="16"/>
                <w:szCs w:val="16"/>
                <w:b w:val="1"/>
                <w:bCs w:val="1"/>
                <w:color w:val="454545"/>
              </w:rPr>
              <w:t>2025</w:t>
            </w: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2024</w:t>
            </w:r>
          </w:p>
        </w:tc>
        <w:tc>
          <w:tcPr>
            <w:tcW w:w="560" w:type="dxa"/>
            <w:vAlign w:val="bottom"/>
          </w:tcPr>
          <w:p>
            <w:pPr>
              <w:spacing w:after="0"/>
              <w:rPr>
                <w:sz w:val="19"/>
                <w:szCs w:val="19"/>
                <w:color w:val="auto"/>
              </w:rPr>
            </w:pPr>
          </w:p>
        </w:tc>
        <w:tc>
          <w:tcPr>
            <w:tcW w:w="1380" w:type="dxa"/>
            <w:vAlign w:val="bottom"/>
          </w:tcPr>
          <w:p>
            <w:pPr>
              <w:jc w:val="right"/>
              <w:ind w:right="699"/>
              <w:spacing w:after="0"/>
              <w:rPr>
                <w:sz w:val="20"/>
                <w:szCs w:val="20"/>
                <w:color w:val="auto"/>
              </w:rPr>
            </w:pPr>
            <w:r>
              <w:rPr>
                <w:rFonts w:ascii="Arial" w:cs="Arial" w:eastAsia="Arial" w:hAnsi="Arial"/>
                <w:sz w:val="16"/>
                <w:szCs w:val="16"/>
                <w:b w:val="1"/>
                <w:bCs w:val="1"/>
                <w:color w:val="454545"/>
              </w:rPr>
              <w:t>2023</w:t>
            </w:r>
          </w:p>
        </w:tc>
      </w:tr>
      <w:tr>
        <w:trPr>
          <w:trHeight w:val="21"/>
        </w:trPr>
        <w:tc>
          <w:tcPr>
            <w:tcW w:w="544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60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48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r>
      <w:tr>
        <w:trPr>
          <w:trHeight w:val="230"/>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340" w:type="dxa"/>
            <w:vAlign w:val="bottom"/>
            <w:tcBorders>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w:t>
            </w:r>
          </w:p>
        </w:tc>
        <w:tc>
          <w:tcPr>
            <w:tcW w:w="44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192</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193</w:t>
            </w:r>
          </w:p>
        </w:tc>
      </w:tr>
      <w:tr>
        <w:trPr>
          <w:trHeight w:val="228"/>
        </w:trPr>
        <w:tc>
          <w:tcPr>
            <w:tcW w:w="5440" w:type="dxa"/>
            <w:vAlign w:val="bottom"/>
          </w:tcPr>
          <w:p>
            <w:pPr>
              <w:ind w:left="20"/>
              <w:spacing w:after="0"/>
              <w:rPr>
                <w:sz w:val="20"/>
                <w:szCs w:val="20"/>
                <w:color w:val="auto"/>
              </w:rPr>
            </w:pPr>
            <w:r>
              <w:rPr>
                <w:rFonts w:ascii="Arial" w:cs="Arial" w:eastAsia="Arial" w:hAnsi="Arial"/>
                <w:sz w:val="16"/>
                <w:szCs w:val="16"/>
                <w:color w:val="auto"/>
              </w:rPr>
              <w:t>Current-year provisions</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208</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202</w:t>
            </w: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216</w:t>
            </w:r>
          </w:p>
        </w:tc>
      </w:tr>
      <w:tr>
        <w:trPr>
          <w:trHeight w:val="29"/>
        </w:trPr>
        <w:tc>
          <w:tcPr>
            <w:tcW w:w="5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6"/>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Expenditures</w:t>
            </w:r>
          </w:p>
        </w:tc>
        <w:tc>
          <w:tcPr>
            <w:tcW w:w="1340" w:type="dxa"/>
            <w:vAlign w:val="bottom"/>
            <w:tcBorders>
              <w:bottom w:val="single" w:sz="8" w:color="E4E4E4"/>
            </w:tcBorders>
            <w:shd w:val="clear" w:color="auto" w:fill="E4E4E4"/>
          </w:tcPr>
          <w:p>
            <w:pPr>
              <w:spacing w:after="0"/>
              <w:rPr>
                <w:sz w:val="20"/>
                <w:szCs w:val="20"/>
                <w:color w:val="auto"/>
              </w:rPr>
            </w:pP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(214)</w:t>
            </w:r>
          </w:p>
        </w:tc>
        <w:tc>
          <w:tcPr>
            <w:tcW w:w="440" w:type="dxa"/>
            <w:vAlign w:val="bottom"/>
            <w:tcBorders>
              <w:bottom w:val="single" w:sz="8" w:color="E4E4E4"/>
            </w:tcBorders>
            <w:shd w:val="clear" w:color="auto" w:fill="E4E4E4"/>
          </w:tcPr>
          <w:p>
            <w:pPr>
              <w:spacing w:after="0"/>
              <w:rPr>
                <w:sz w:val="20"/>
                <w:szCs w:val="20"/>
                <w:color w:val="auto"/>
              </w:rPr>
            </w:pP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(220)</w:t>
            </w:r>
          </w:p>
        </w:tc>
        <w:tc>
          <w:tcPr>
            <w:tcW w:w="56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(218)</w:t>
            </w:r>
          </w:p>
        </w:tc>
      </w:tr>
      <w:tr>
        <w:trPr>
          <w:trHeight w:val="228"/>
        </w:trPr>
        <w:tc>
          <w:tcPr>
            <w:tcW w:w="5440" w:type="dxa"/>
            <w:vAlign w:val="bottom"/>
          </w:tcPr>
          <w:p>
            <w:pPr>
              <w:ind w:left="20"/>
              <w:spacing w:after="0"/>
              <w:rPr>
                <w:sz w:val="20"/>
                <w:szCs w:val="20"/>
                <w:color w:val="auto"/>
              </w:rPr>
            </w:pPr>
            <w:r>
              <w:rPr>
                <w:rFonts w:ascii="Arial" w:cs="Arial" w:eastAsia="Arial" w:hAnsi="Arial"/>
                <w:sz w:val="16"/>
                <w:szCs w:val="16"/>
                <w:color w:val="auto"/>
              </w:rPr>
              <w:t>Foreign currency exchange and other</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w:t>
            </w: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9"/>
        </w:trPr>
        <w:tc>
          <w:tcPr>
            <w:tcW w:w="5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54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340" w:type="dxa"/>
            <w:vAlign w:val="bottom"/>
            <w:tcBorders>
              <w:bottom w:val="single" w:sz="8" w:color="E4E4E4"/>
            </w:tcBorders>
            <w:shd w:val="clear" w:color="auto" w:fill="E4E4E4"/>
          </w:tcPr>
          <w:p>
            <w:pPr>
              <w:jc w:val="right"/>
              <w:ind w:right="1139"/>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169</w:t>
            </w:r>
          </w:p>
        </w:tc>
        <w:tc>
          <w:tcPr>
            <w:tcW w:w="44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168</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192</w:t>
            </w:r>
          </w:p>
        </w:tc>
      </w:tr>
      <w:tr>
        <w:trPr>
          <w:trHeight w:val="20"/>
        </w:trPr>
        <w:tc>
          <w:tcPr>
            <w:tcW w:w="54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Product warranties are recognized within All other current liabilities in the Consolidated Statements of Financial Position.</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MATTERS.</w:t>
      </w:r>
    </w:p>
    <w:p>
      <w:pPr>
        <w:spacing w:after="0" w:line="262"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In the normal course of our business, we are involved from time to time in various arbitrations; class actions; commercial, intellectual property, and product liability litigation; government investigations; investigations by competition/antitrust authorities; and other legal, regulatory, or governmental actions, including the significant matter described below that could have a material impact on our results of operations and cash flows. In many proceedings, including the specific matter described below, it is inherently difficult to determine whether any loss is probable or even reasonably possible or to estimate the size or range of the possible loss, and accruals for legal matters are not recorded until a loss for a particular matter is considered probable and reasonably estimable. Given the nature of legal matters and the complexities involved, it is often difficult to predict and determine a meaningful estimate of loss or range of loss until we know, among other factors, the particular claims involved, the likelihood of success of our defenses to those claims, the damages or other relief sought, how discovery or other procedural considerations will affect the outcome, the settlement posture of other parties, and other factors that may have a material effect on the outcome. For such matters, unless otherwise specified, we do not believe it is possible to provide a meaningful estimate of loss at this time. Moreover, it is not uncommon for legal matters to be resolved over many years, during which time relevant developments and new information must be continuously evaluated.</w:t>
      </w:r>
    </w:p>
    <w:p>
      <w:pPr>
        <w:sectPr>
          <w:pgSz w:w="11900" w:h="16838" w:orient="portrait"/>
          <w:cols w:equalWidth="0" w:num="1">
            <w:col w:w="11240"/>
          </w:cols>
          <w:pgMar w:left="320" w:top="130" w:right="339" w:bottom="10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092"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Contracts with Iraqi Ministry of Health</w:t>
      </w:r>
    </w:p>
    <w:p>
      <w:pPr>
        <w:spacing w:after="0" w:line="1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2017, a number of U.S. Service members, civilians, and their families brought a complaint in the U.S. District Court for the District of Columbia (the “District Court”) against a number of pharmaceutical and medical device companies, including GE HealthCare and certain affiliates, alleging that the defendants violated the U.S. Anti-Terrorism Act. The complaint seeks monetary relief and alleges that the defendants provided funding for an Iraqi terrorist organization through their sales practices pursuant to pharmaceutical and medical device contracts with the Iraqi Ministry of Health. In July 2020, the District Court granted defendants’ motions to dismiss and dismissed all of the plaintiffs’ claims. In January 2022, a panel of the U.S. Court of Appeals for the District of Columbia Circuit reversed the District Court’s decision. In February 2022, the defendants requested review of the decision by all of the judges on the U.S. Court of Appeals for the District of Columbia Circuit (the “D.C. Circuit”). In February 2023, the D.C. Circuit denied this request. In June 2023, defendants petitioned the Supreme Court to review the D.C. Circuit’s decision. On June 24, 2024, the Supreme Court vacated the D.C. Circuit’s decision and remanded the case to the D.C. Circuit for further consideration. On January 23, 2026, the D.C. Circuit reversed the District Court’s decision to dismiss the complaint and remanded the case for further proceedings.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AND ASSET RETIREMENT OBLIGATIONS.</w:t>
      </w:r>
    </w:p>
    <w:p>
      <w:pPr>
        <w:spacing w:after="0" w:line="275"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Our environmental remediation liabilities, which are measured on an undiscounted basis, were $15 million and $16 million as of December 31, 2025 and 2024, respectively, and are recognized within All other current liabilities and All other non-current liabilities in the Consolidated Statements of Financial Position.</w:t>
      </w:r>
    </w:p>
    <w:p>
      <w:pPr>
        <w:spacing w:after="0" w:line="212"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Our asset retirement obligations were $409 million and $292 million as of December 31, 2025 and 2024, respectively, and are recognized within All other current liabilities and All other non-current liabilities in the Consolidated Statements of Financial Position. The increase is primarily driven by $124 million in asset retirement obligations and decommissioning liabilities assumed as part of the NMP acquisition. Refer to Note 8, “Acquisitions, Goodwill, and Other Intangible Assets” for further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UNRECOGNIZED CONTRACTUAL OBLIGATIONS.</w:t>
      </w:r>
    </w:p>
    <w:p>
      <w:pPr>
        <w:spacing w:after="0" w:line="262"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In the normal course of business, we enter into purchase commitments that are legally binding and specify minimum purchase quantities or spending amounts for items such as inventory, contractual services, and capital expenditures. As of December 31, 2025, these future purchase obligations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2026</w:t>
            </w:r>
          </w:p>
        </w:tc>
        <w:tc>
          <w:tcPr>
            <w:tcW w:w="26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2027</w:t>
            </w:r>
          </w:p>
        </w:tc>
        <w:tc>
          <w:tcPr>
            <w:tcW w:w="26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2028</w:t>
            </w:r>
          </w:p>
        </w:tc>
        <w:tc>
          <w:tcPr>
            <w:tcW w:w="24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2029</w:t>
            </w:r>
          </w:p>
        </w:tc>
        <w:tc>
          <w:tcPr>
            <w:tcW w:w="260" w:type="dxa"/>
            <w:vAlign w:val="bottom"/>
          </w:tcPr>
          <w:p>
            <w:pPr>
              <w:spacing w:after="0"/>
              <w:rPr>
                <w:sz w:val="19"/>
                <w:szCs w:val="19"/>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b w:val="1"/>
                <w:bCs w:val="1"/>
                <w:color w:val="454545"/>
              </w:rPr>
              <w:t>2030</w:t>
            </w:r>
          </w:p>
        </w:tc>
        <w:tc>
          <w:tcPr>
            <w:tcW w:w="140" w:type="dxa"/>
            <w:vAlign w:val="bottom"/>
          </w:tcPr>
          <w:p>
            <w:pPr>
              <w:spacing w:after="0"/>
              <w:rPr>
                <w:sz w:val="19"/>
                <w:szCs w:val="19"/>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454545"/>
              </w:rPr>
              <w:t>Thereafter</w:t>
            </w:r>
          </w:p>
        </w:tc>
        <w:tc>
          <w:tcPr>
            <w:tcW w:w="260" w:type="dxa"/>
            <w:vAlign w:val="bottom"/>
          </w:tcPr>
          <w:p>
            <w:pPr>
              <w:spacing w:after="0"/>
              <w:rPr>
                <w:sz w:val="19"/>
                <w:szCs w:val="19"/>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b w:val="1"/>
                <w:bCs w:val="1"/>
                <w:color w:val="454545"/>
              </w:rPr>
              <w:t>Total</w:t>
            </w:r>
          </w:p>
        </w:tc>
      </w:tr>
      <w:tr>
        <w:trPr>
          <w:trHeight w:val="21"/>
        </w:trPr>
        <w:tc>
          <w:tcPr>
            <w:tcW w:w="3540" w:type="dxa"/>
            <w:vAlign w:val="bottom"/>
            <w:tcBorders>
              <w:bottom w:val="single" w:sz="8" w:color="6400A0"/>
            </w:tcBorders>
          </w:tcPr>
          <w:p>
            <w:pPr>
              <w:spacing w:after="0" w:line="20" w:lineRule="exact"/>
              <w:rPr>
                <w:sz w:val="1"/>
                <w:szCs w:val="1"/>
                <w:color w:val="auto"/>
              </w:rPr>
            </w:pPr>
          </w:p>
        </w:tc>
        <w:tc>
          <w:tcPr>
            <w:tcW w:w="52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4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00" w:type="dxa"/>
            <w:vAlign w:val="bottom"/>
            <w:tcBorders>
              <w:bottom w:val="single" w:sz="8" w:color="6400A0"/>
            </w:tcBorders>
          </w:tcPr>
          <w:p>
            <w:pPr>
              <w:spacing w:after="0" w:line="20" w:lineRule="exact"/>
              <w:rPr>
                <w:sz w:val="1"/>
                <w:szCs w:val="1"/>
                <w:color w:val="auto"/>
              </w:rPr>
            </w:pPr>
          </w:p>
        </w:tc>
        <w:tc>
          <w:tcPr>
            <w:tcW w:w="140" w:type="dxa"/>
            <w:vAlign w:val="bottom"/>
            <w:tcBorders>
              <w:bottom w:val="single" w:sz="8" w:color="6400A0"/>
            </w:tcBorders>
          </w:tcPr>
          <w:p>
            <w:pPr>
              <w:spacing w:after="0" w:line="20" w:lineRule="exact"/>
              <w:rPr>
                <w:sz w:val="1"/>
                <w:szCs w:val="1"/>
                <w:color w:val="auto"/>
              </w:rPr>
            </w:pPr>
          </w:p>
        </w:tc>
        <w:tc>
          <w:tcPr>
            <w:tcW w:w="920" w:type="dxa"/>
            <w:vAlign w:val="bottom"/>
            <w:tcBorders>
              <w:bottom w:val="single" w:sz="8" w:color="6400A0"/>
            </w:tcBorders>
          </w:tcPr>
          <w:p>
            <w:pPr>
              <w:spacing w:after="0" w:line="20" w:lineRule="exact"/>
              <w:rPr>
                <w:sz w:val="1"/>
                <w:szCs w:val="1"/>
                <w:color w:val="auto"/>
              </w:rPr>
            </w:pPr>
          </w:p>
        </w:tc>
        <w:tc>
          <w:tcPr>
            <w:tcW w:w="260" w:type="dxa"/>
            <w:vAlign w:val="bottom"/>
            <w:tcBorders>
              <w:bottom w:val="single" w:sz="8" w:color="6400A0"/>
            </w:tcBorders>
          </w:tcPr>
          <w:p>
            <w:pPr>
              <w:spacing w:after="0" w:line="20" w:lineRule="exact"/>
              <w:rPr>
                <w:sz w:val="1"/>
                <w:szCs w:val="1"/>
                <w:color w:val="auto"/>
              </w:rPr>
            </w:pPr>
          </w:p>
        </w:tc>
        <w:tc>
          <w:tcPr>
            <w:tcW w:w="840" w:type="dxa"/>
            <w:vAlign w:val="bottom"/>
            <w:tcBorders>
              <w:bottom w:val="single" w:sz="8" w:color="6400A0"/>
            </w:tcBorders>
          </w:tcPr>
          <w:p>
            <w:pPr>
              <w:spacing w:after="0" w:line="20" w:lineRule="exact"/>
              <w:rPr>
                <w:sz w:val="1"/>
                <w:szCs w:val="1"/>
                <w:color w:val="auto"/>
              </w:rPr>
            </w:pPr>
          </w:p>
        </w:tc>
      </w:tr>
      <w:tr>
        <w:trPr>
          <w:trHeight w:val="230"/>
        </w:trPr>
        <w:tc>
          <w:tcPr>
            <w:tcW w:w="354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Other Unrecognized Contractual Obligations</w:t>
            </w:r>
          </w:p>
        </w:tc>
        <w:tc>
          <w:tcPr>
            <w:tcW w:w="5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468</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188</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171</w:t>
            </w:r>
          </w:p>
        </w:tc>
        <w:tc>
          <w:tcPr>
            <w:tcW w:w="24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155</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77</w:t>
            </w:r>
          </w:p>
        </w:tc>
        <w:tc>
          <w:tcPr>
            <w:tcW w:w="1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89</w:t>
            </w:r>
          </w:p>
        </w:tc>
        <w:tc>
          <w:tcPr>
            <w:tcW w:w="26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1,149</w:t>
            </w:r>
          </w:p>
        </w:tc>
      </w:tr>
      <w:tr>
        <w:trPr>
          <w:trHeight w:val="20"/>
        </w:trPr>
        <w:tc>
          <w:tcPr>
            <w:tcW w:w="35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RESTRUCTURING ACTIVITIES</w:t>
      </w:r>
    </w:p>
    <w:p>
      <w:pPr>
        <w:spacing w:after="0" w:line="257" w:lineRule="exact"/>
        <w:rPr>
          <w:sz w:val="20"/>
          <w:szCs w:val="20"/>
          <w:color w:val="auto"/>
        </w:rPr>
      </w:pPr>
    </w:p>
    <w:p>
      <w:pPr>
        <w:ind w:right="260"/>
        <w:spacing w:after="0" w:line="265" w:lineRule="auto"/>
        <w:rPr>
          <w:sz w:val="20"/>
          <w:szCs w:val="20"/>
          <w:color w:val="auto"/>
        </w:rPr>
      </w:pPr>
      <w:r>
        <w:rPr>
          <w:rFonts w:ascii="Arial" w:cs="Arial" w:eastAsia="Arial" w:hAnsi="Arial"/>
          <w:sz w:val="16"/>
          <w:szCs w:val="16"/>
          <w:color w:val="auto"/>
        </w:rPr>
        <w:t>Restructuring activities are essential to optimize the business operating model for GE HealthCare and mostly involve workforce reductions, organizational realignments, and revisions to our real estate footprint. Specifically, restructuring charges (gains) primarily include employee-related termination benefits associated with workforce reductions, facility exit costs, asset write-downs, and cease-use costs. For segment reporting, restructuring activities are not allocated.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Net expenses for restructuring initiatives committed to by management through December 31, 2025 are included in the table below.</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900" w:type="dxa"/>
            <w:vAlign w:val="bottom"/>
            <w:gridSpan w:val="4"/>
          </w:tcPr>
          <w:p>
            <w:pPr>
              <w:jc w:val="right"/>
              <w:ind w:right="59"/>
              <w:spacing w:after="0"/>
              <w:rPr>
                <w:sz w:val="20"/>
                <w:szCs w:val="20"/>
                <w:color w:val="auto"/>
              </w:rPr>
            </w:pPr>
            <w:r>
              <w:rPr>
                <w:rFonts w:ascii="Arial" w:cs="Arial" w:eastAsia="Arial" w:hAnsi="Arial"/>
                <w:sz w:val="16"/>
                <w:szCs w:val="16"/>
                <w:b w:val="1"/>
                <w:bCs w:val="1"/>
                <w:color w:val="454545"/>
              </w:rPr>
              <w:t>For the years ended December 31</w:t>
            </w:r>
          </w:p>
        </w:tc>
        <w:tc>
          <w:tcPr>
            <w:tcW w:w="1240" w:type="dxa"/>
            <w:vAlign w:val="bottom"/>
          </w:tcPr>
          <w:p>
            <w:pPr>
              <w:spacing w:after="0"/>
              <w:rPr>
                <w:sz w:val="19"/>
                <w:szCs w:val="19"/>
                <w:color w:val="auto"/>
              </w:rPr>
            </w:pPr>
          </w:p>
        </w:tc>
      </w:tr>
      <w:tr>
        <w:trPr>
          <w:trHeight w:val="21"/>
        </w:trPr>
        <w:tc>
          <w:tcPr>
            <w:tcW w:w="5880" w:type="dxa"/>
            <w:vAlign w:val="bottom"/>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440" w:type="dxa"/>
            <w:vAlign w:val="bottom"/>
            <w:tcBorders>
              <w:bottom w:val="single" w:sz="8" w:color="454545"/>
            </w:tcBorders>
          </w:tcPr>
          <w:p>
            <w:pPr>
              <w:spacing w:after="0" w:line="20" w:lineRule="exact"/>
              <w:rPr>
                <w:sz w:val="1"/>
                <w:szCs w:val="1"/>
                <w:color w:val="auto"/>
              </w:rPr>
            </w:pPr>
          </w:p>
        </w:tc>
        <w:tc>
          <w:tcPr>
            <w:tcW w:w="134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r>
      <w:tr>
        <w:trPr>
          <w:trHeight w:val="229"/>
        </w:trPr>
        <w:tc>
          <w:tcPr>
            <w:tcW w:w="588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b w:val="1"/>
                <w:bCs w:val="1"/>
                <w:color w:val="454545"/>
              </w:rPr>
              <w:t>2025</w:t>
            </w: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ind w:right="599"/>
              <w:spacing w:after="0"/>
              <w:rPr>
                <w:sz w:val="20"/>
                <w:szCs w:val="20"/>
                <w:color w:val="auto"/>
              </w:rPr>
            </w:pPr>
            <w:r>
              <w:rPr>
                <w:rFonts w:ascii="Arial" w:cs="Arial" w:eastAsia="Arial" w:hAnsi="Arial"/>
                <w:sz w:val="16"/>
                <w:szCs w:val="16"/>
                <w:b w:val="1"/>
                <w:bCs w:val="1"/>
                <w:color w:val="454545"/>
              </w:rPr>
              <w:t>2024</w:t>
            </w:r>
          </w:p>
        </w:tc>
        <w:tc>
          <w:tcPr>
            <w:tcW w:w="580" w:type="dxa"/>
            <w:vAlign w:val="bottom"/>
          </w:tcPr>
          <w:p>
            <w:pPr>
              <w:spacing w:after="0"/>
              <w:rPr>
                <w:sz w:val="19"/>
                <w:szCs w:val="19"/>
                <w:color w:val="auto"/>
              </w:rPr>
            </w:pPr>
          </w:p>
        </w:tc>
        <w:tc>
          <w:tcPr>
            <w:tcW w:w="124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2023</w:t>
            </w:r>
          </w:p>
        </w:tc>
      </w:tr>
      <w:tr>
        <w:trPr>
          <w:trHeight w:val="21"/>
        </w:trPr>
        <w:tc>
          <w:tcPr>
            <w:tcW w:w="588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540" w:type="dxa"/>
            <w:vAlign w:val="bottom"/>
            <w:tcBorders>
              <w:bottom w:val="single" w:sz="8" w:color="6022A6"/>
            </w:tcBorders>
          </w:tcPr>
          <w:p>
            <w:pPr>
              <w:spacing w:after="0" w:line="20" w:lineRule="exact"/>
              <w:rPr>
                <w:sz w:val="1"/>
                <w:szCs w:val="1"/>
                <w:color w:val="auto"/>
              </w:rPr>
            </w:pPr>
          </w:p>
        </w:tc>
        <w:tc>
          <w:tcPr>
            <w:tcW w:w="440" w:type="dxa"/>
            <w:vAlign w:val="bottom"/>
            <w:tcBorders>
              <w:bottom w:val="single" w:sz="8" w:color="6022A6"/>
            </w:tcBorders>
          </w:tcPr>
          <w:p>
            <w:pPr>
              <w:spacing w:after="0" w:line="20" w:lineRule="exact"/>
              <w:rPr>
                <w:sz w:val="1"/>
                <w:szCs w:val="1"/>
                <w:color w:val="auto"/>
              </w:rPr>
            </w:pPr>
          </w:p>
        </w:tc>
        <w:tc>
          <w:tcPr>
            <w:tcW w:w="134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r>
      <w:tr>
        <w:trPr>
          <w:trHeight w:val="230"/>
        </w:trPr>
        <w:tc>
          <w:tcPr>
            <w:tcW w:w="58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Employee termination costs</w:t>
            </w:r>
          </w:p>
        </w:tc>
        <w:tc>
          <w:tcPr>
            <w:tcW w:w="1220" w:type="dxa"/>
            <w:vAlign w:val="bottom"/>
            <w:tcBorders>
              <w:bottom w:val="single" w:sz="8" w:color="E4E4E4"/>
            </w:tcBorders>
            <w:shd w:val="clear" w:color="auto" w:fill="E4E4E4"/>
          </w:tcPr>
          <w:p>
            <w:pPr>
              <w:jc w:val="right"/>
              <w:ind w:right="103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c>
          <w:tcPr>
            <w:tcW w:w="44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c>
          <w:tcPr>
            <w:tcW w:w="58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38</w:t>
            </w:r>
          </w:p>
        </w:tc>
      </w:tr>
      <w:tr>
        <w:trPr>
          <w:trHeight w:val="228"/>
        </w:trPr>
        <w:tc>
          <w:tcPr>
            <w:tcW w:w="5880" w:type="dxa"/>
            <w:vAlign w:val="bottom"/>
          </w:tcPr>
          <w:p>
            <w:pPr>
              <w:ind w:left="20"/>
              <w:spacing w:after="0"/>
              <w:rPr>
                <w:sz w:val="20"/>
                <w:szCs w:val="20"/>
                <w:color w:val="auto"/>
              </w:rPr>
            </w:pPr>
            <w:r>
              <w:rPr>
                <w:rFonts w:ascii="Arial" w:cs="Arial" w:eastAsia="Arial" w:hAnsi="Arial"/>
                <w:sz w:val="16"/>
                <w:szCs w:val="16"/>
                <w:color w:val="auto"/>
              </w:rPr>
              <w:t>Facility and other exit costs</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w:t>
            </w: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w:t>
            </w:r>
          </w:p>
        </w:tc>
        <w:tc>
          <w:tcPr>
            <w:tcW w:w="5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9"/>
        </w:trPr>
        <w:tc>
          <w:tcPr>
            <w:tcW w:w="58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2"/>
        </w:trPr>
        <w:tc>
          <w:tcPr>
            <w:tcW w:w="58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Asset write-downs</w:t>
            </w:r>
          </w:p>
        </w:tc>
        <w:tc>
          <w:tcPr>
            <w:tcW w:w="1220" w:type="dxa"/>
            <w:vAlign w:val="bottom"/>
            <w:tcBorders>
              <w:bottom w:val="single" w:sz="8" w:color="E4E4E4"/>
            </w:tcBorders>
            <w:shd w:val="clear" w:color="auto" w:fill="E4E4E4"/>
          </w:tcPr>
          <w:p>
            <w:pPr>
              <w:spacing w:after="0"/>
              <w:rPr>
                <w:sz w:val="22"/>
                <w:szCs w:val="22"/>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w:t>
            </w:r>
          </w:p>
        </w:tc>
        <w:tc>
          <w:tcPr>
            <w:tcW w:w="440" w:type="dxa"/>
            <w:vAlign w:val="bottom"/>
            <w:tcBorders>
              <w:bottom w:val="single" w:sz="8" w:color="E4E4E4"/>
            </w:tcBorders>
            <w:shd w:val="clear" w:color="auto" w:fill="E4E4E4"/>
          </w:tcPr>
          <w:p>
            <w:pPr>
              <w:spacing w:after="0"/>
              <w:rPr>
                <w:sz w:val="22"/>
                <w:szCs w:val="22"/>
                <w:color w:val="auto"/>
              </w:rPr>
            </w:pPr>
          </w:p>
        </w:tc>
        <w:tc>
          <w:tcPr>
            <w:tcW w:w="13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17</w:t>
            </w:r>
          </w:p>
        </w:tc>
        <w:tc>
          <w:tcPr>
            <w:tcW w:w="580" w:type="dxa"/>
            <w:vAlign w:val="bottom"/>
            <w:tcBorders>
              <w:bottom w:val="single" w:sz="8" w:color="E4E4E4"/>
            </w:tcBorders>
            <w:shd w:val="clear" w:color="auto" w:fill="E4E4E4"/>
          </w:tcPr>
          <w:p>
            <w:pPr>
              <w:spacing w:after="0"/>
              <w:rPr>
                <w:sz w:val="22"/>
                <w:szCs w:val="22"/>
                <w:color w:val="auto"/>
              </w:rPr>
            </w:pPr>
          </w:p>
        </w:tc>
        <w:tc>
          <w:tcPr>
            <w:tcW w:w="12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w:t>
            </w:r>
          </w:p>
        </w:tc>
      </w:tr>
      <w:tr>
        <w:trPr>
          <w:trHeight w:val="229"/>
        </w:trPr>
        <w:tc>
          <w:tcPr>
            <w:tcW w:w="58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Total restructuring activities – net</w:t>
            </w:r>
          </w:p>
        </w:tc>
        <w:tc>
          <w:tcPr>
            <w:tcW w:w="1220" w:type="dxa"/>
            <w:vAlign w:val="bottom"/>
            <w:tcBorders>
              <w:top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120</w:t>
            </w:r>
          </w:p>
        </w:tc>
        <w:tc>
          <w:tcPr>
            <w:tcW w:w="58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54</w:t>
            </w:r>
          </w:p>
        </w:tc>
      </w:tr>
      <w:tr>
        <w:trPr>
          <w:trHeight w:val="21"/>
        </w:trPr>
        <w:tc>
          <w:tcPr>
            <w:tcW w:w="58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These restructuring initiatives are expected to result in additional expenses of approximately $53 million, to be incurred primarily over the next 12 months, substantially related to employee-related termination benefits and asset write-downs. Restructuring expenses (gains) are recognized within Cost of products, Cost of services, or SG&amp;A, as appropriate, in the Consolidated Statements of Income.</w:t>
      </w:r>
    </w:p>
    <w:p>
      <w:pPr>
        <w:spacing w:after="0" w:line="191" w:lineRule="exact"/>
        <w:rPr>
          <w:sz w:val="20"/>
          <w:szCs w:val="20"/>
          <w:color w:val="auto"/>
        </w:rPr>
      </w:pPr>
    </w:p>
    <w:p>
      <w:pPr>
        <w:ind w:right="240"/>
        <w:spacing w:after="0" w:line="304" w:lineRule="auto"/>
        <w:rPr>
          <w:sz w:val="20"/>
          <w:szCs w:val="20"/>
          <w:color w:val="auto"/>
        </w:rPr>
      </w:pPr>
      <w:r>
        <w:rPr>
          <w:rFonts w:ascii="Arial" w:cs="Arial" w:eastAsia="Arial" w:hAnsi="Arial"/>
          <w:sz w:val="16"/>
          <w:szCs w:val="16"/>
          <w:color w:val="auto"/>
        </w:rPr>
        <w:t>Liabilities related to restructuring are recognized within Current compensation and benefits, All other current liabilities, Non-current compensation and benefits, and All other non-current liabilities in the Consolidated Statements of Financial Position. The activity related to our restructuring liabilities follows.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454545"/>
              </w:rPr>
              <w:t>Employee</w:t>
            </w:r>
          </w:p>
        </w:tc>
        <w:tc>
          <w:tcPr>
            <w:tcW w:w="12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b w:val="1"/>
                <w:bCs w:val="1"/>
                <w:color w:val="454545"/>
                <w:w w:val="99"/>
              </w:rPr>
              <w:t>Facility and other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3"/>
        </w:trPr>
        <w:tc>
          <w:tcPr>
            <w:tcW w:w="44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60" w:type="dxa"/>
            <w:vAlign w:val="bottom"/>
          </w:tcPr>
          <w:p>
            <w:pPr>
              <w:jc w:val="center"/>
              <w:ind w:right="39"/>
              <w:spacing w:after="0"/>
              <w:rPr>
                <w:sz w:val="20"/>
                <w:szCs w:val="20"/>
                <w:color w:val="auto"/>
              </w:rPr>
            </w:pPr>
            <w:r>
              <w:rPr>
                <w:rFonts w:ascii="Arial" w:cs="Arial" w:eastAsia="Arial" w:hAnsi="Arial"/>
                <w:sz w:val="16"/>
                <w:szCs w:val="16"/>
                <w:b w:val="1"/>
                <w:bCs w:val="1"/>
                <w:color w:val="454545"/>
              </w:rPr>
              <w:t>termination costs</w:t>
            </w:r>
          </w:p>
        </w:tc>
        <w:tc>
          <w:tcPr>
            <w:tcW w:w="120" w:type="dxa"/>
            <w:vAlign w:val="bottom"/>
          </w:tcPr>
          <w:p>
            <w:pPr>
              <w:spacing w:after="0"/>
              <w:rPr>
                <w:sz w:val="19"/>
                <w:szCs w:val="19"/>
                <w:color w:val="auto"/>
              </w:rPr>
            </w:pP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454545"/>
              </w:rPr>
              <w:t>exit costs</w:t>
            </w:r>
          </w:p>
        </w:tc>
        <w:tc>
          <w:tcPr>
            <w:tcW w:w="360" w:type="dxa"/>
            <w:vAlign w:val="bottom"/>
          </w:tcPr>
          <w:p>
            <w:pPr>
              <w:spacing w:after="0"/>
              <w:rPr>
                <w:sz w:val="19"/>
                <w:szCs w:val="19"/>
                <w:color w:val="auto"/>
              </w:rPr>
            </w:pPr>
          </w:p>
        </w:tc>
        <w:tc>
          <w:tcPr>
            <w:tcW w:w="1220" w:type="dxa"/>
            <w:vAlign w:val="bottom"/>
          </w:tcPr>
          <w:p>
            <w:pPr>
              <w:jc w:val="right"/>
              <w:ind w:right="519"/>
              <w:spacing w:after="0"/>
              <w:rPr>
                <w:sz w:val="20"/>
                <w:szCs w:val="20"/>
                <w:color w:val="auto"/>
              </w:rPr>
            </w:pPr>
            <w:r>
              <w:rPr>
                <w:rFonts w:ascii="Arial" w:cs="Arial" w:eastAsia="Arial" w:hAnsi="Arial"/>
                <w:sz w:val="16"/>
                <w:szCs w:val="16"/>
                <w:b w:val="1"/>
                <w:bCs w:val="1"/>
                <w:color w:val="454545"/>
              </w:rPr>
              <w:t>Total</w:t>
            </w:r>
          </w:p>
        </w:tc>
      </w:tr>
      <w:tr>
        <w:trPr>
          <w:trHeight w:val="21"/>
        </w:trPr>
        <w:tc>
          <w:tcPr>
            <w:tcW w:w="4460" w:type="dxa"/>
            <w:vAlign w:val="bottom"/>
            <w:tcBorders>
              <w:bottom w:val="single" w:sz="8" w:color="6022A6"/>
            </w:tcBorders>
          </w:tcPr>
          <w:p>
            <w:pPr>
              <w:spacing w:after="0" w:line="20" w:lineRule="exact"/>
              <w:rPr>
                <w:sz w:val="1"/>
                <w:szCs w:val="1"/>
                <w:color w:val="auto"/>
              </w:rPr>
            </w:pPr>
          </w:p>
        </w:tc>
        <w:tc>
          <w:tcPr>
            <w:tcW w:w="216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1460" w:type="dxa"/>
            <w:vAlign w:val="bottom"/>
            <w:tcBorders>
              <w:bottom w:val="single" w:sz="8" w:color="6022A6"/>
            </w:tcBorders>
          </w:tcPr>
          <w:p>
            <w:pPr>
              <w:spacing w:after="0" w:line="20" w:lineRule="exact"/>
              <w:rPr>
                <w:sz w:val="1"/>
                <w:szCs w:val="1"/>
                <w:color w:val="auto"/>
              </w:rPr>
            </w:pPr>
          </w:p>
        </w:tc>
        <w:tc>
          <w:tcPr>
            <w:tcW w:w="36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r>
      <w:tr>
        <w:trPr>
          <w:trHeight w:val="255"/>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2023</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4E4E4"/>
            </w:tcBorders>
            <w:shd w:val="clear" w:color="auto" w:fill="E4E4E4"/>
          </w:tcPr>
          <w:p>
            <w:pPr>
              <w:jc w:val="center"/>
              <w:ind w:left="1039"/>
              <w:spacing w:after="0"/>
              <w:rPr>
                <w:sz w:val="20"/>
                <w:szCs w:val="20"/>
                <w:color w:val="auto"/>
              </w:rPr>
            </w:pPr>
            <w:r>
              <w:rPr>
                <w:rFonts w:ascii="Arial" w:cs="Arial" w:eastAsia="Arial" w:hAnsi="Arial"/>
                <w:sz w:val="16"/>
                <w:szCs w:val="16"/>
                <w:b w:val="1"/>
                <w:bCs w:val="1"/>
                <w:color w:val="auto"/>
              </w:rPr>
              <w:t>43</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25</w:t>
            </w:r>
          </w:p>
        </w:tc>
        <w:tc>
          <w:tcPr>
            <w:tcW w:w="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68</w:t>
            </w:r>
          </w:p>
        </w:tc>
      </w:tr>
      <w:tr>
        <w:trPr>
          <w:trHeight w:val="221"/>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Charges</w:t>
            </w:r>
          </w:p>
        </w:tc>
        <w:tc>
          <w:tcPr>
            <w:tcW w:w="2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left="1039"/>
              <w:spacing w:after="0"/>
              <w:rPr>
                <w:sz w:val="20"/>
                <w:szCs w:val="20"/>
                <w:color w:val="auto"/>
              </w:rPr>
            </w:pPr>
            <w:r>
              <w:rPr>
                <w:rFonts w:ascii="Arial" w:cs="Arial" w:eastAsia="Arial" w:hAnsi="Arial"/>
                <w:sz w:val="16"/>
                <w:szCs w:val="16"/>
                <w:color w:val="auto"/>
              </w:rPr>
              <w:t>85</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w:t>
            </w:r>
          </w:p>
        </w:tc>
      </w:tr>
      <w:tr>
        <w:trPr>
          <w:trHeight w:val="29"/>
        </w:trPr>
        <w:tc>
          <w:tcPr>
            <w:tcW w:w="4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62"/>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Payments and other adjustments</w:t>
            </w:r>
          </w:p>
        </w:tc>
        <w:tc>
          <w:tcPr>
            <w:tcW w:w="216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center"/>
              <w:ind w:left="103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E4E4E4"/>
            </w:tcBorders>
            <w:shd w:val="clear" w:color="auto" w:fill="E4E4E4"/>
          </w:tcPr>
          <w:p>
            <w:pPr>
              <w:spacing w:after="0"/>
              <w:rPr>
                <w:sz w:val="22"/>
                <w:szCs w:val="22"/>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(15)</w:t>
            </w:r>
          </w:p>
        </w:tc>
        <w:tc>
          <w:tcPr>
            <w:tcW w:w="360" w:type="dxa"/>
            <w:vAlign w:val="bottom"/>
            <w:tcBorders>
              <w:bottom w:val="single" w:sz="8" w:color="E4E4E4"/>
            </w:tcBorders>
            <w:shd w:val="clear" w:color="auto" w:fill="E4E4E4"/>
          </w:tcPr>
          <w:p>
            <w:pPr>
              <w:spacing w:after="0"/>
              <w:rPr>
                <w:sz w:val="22"/>
                <w:szCs w:val="22"/>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(75)</w:t>
            </w:r>
          </w:p>
        </w:tc>
      </w:tr>
      <w:tr>
        <w:trPr>
          <w:trHeight w:val="229"/>
        </w:trPr>
        <w:tc>
          <w:tcPr>
            <w:tcW w:w="44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Balance at December 31, 2024</w:t>
            </w:r>
          </w:p>
        </w:tc>
        <w:tc>
          <w:tcPr>
            <w:tcW w:w="2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center"/>
              <w:ind w:left="1039"/>
              <w:spacing w:after="0"/>
              <w:rPr>
                <w:sz w:val="20"/>
                <w:szCs w:val="20"/>
                <w:color w:val="auto"/>
              </w:rPr>
            </w:pPr>
            <w:r>
              <w:rPr>
                <w:rFonts w:ascii="Arial" w:cs="Arial" w:eastAsia="Arial" w:hAnsi="Arial"/>
                <w:sz w:val="16"/>
                <w:szCs w:val="16"/>
                <w:b w:val="1"/>
                <w:bCs w:val="1"/>
                <w:color w:val="auto"/>
              </w:rPr>
              <w:t>67</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86</w:t>
            </w:r>
          </w:p>
        </w:tc>
      </w:tr>
      <w:tr>
        <w:trPr>
          <w:trHeight w:val="21"/>
        </w:trPr>
        <w:tc>
          <w:tcPr>
            <w:tcW w:w="44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Charges</w:t>
            </w:r>
          </w:p>
        </w:tc>
        <w:tc>
          <w:tcPr>
            <w:tcW w:w="216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center"/>
              <w:ind w:left="1039"/>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E4E4E4"/>
            </w:tcBorders>
            <w:shd w:val="clear" w:color="auto" w:fill="E4E4E4"/>
          </w:tcPr>
          <w:p>
            <w:pPr>
              <w:spacing w:after="0"/>
              <w:rPr>
                <w:sz w:val="20"/>
                <w:szCs w:val="20"/>
                <w:color w:val="auto"/>
              </w:rPr>
            </w:pP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102</w:t>
            </w:r>
          </w:p>
        </w:tc>
      </w:tr>
      <w:tr>
        <w:trPr>
          <w:trHeight w:val="228"/>
        </w:trPr>
        <w:tc>
          <w:tcPr>
            <w:tcW w:w="4460" w:type="dxa"/>
            <w:vAlign w:val="bottom"/>
          </w:tcPr>
          <w:p>
            <w:pPr>
              <w:ind w:left="20"/>
              <w:spacing w:after="0"/>
              <w:rPr>
                <w:sz w:val="20"/>
                <w:szCs w:val="20"/>
                <w:color w:val="auto"/>
              </w:rPr>
            </w:pPr>
            <w:r>
              <w:rPr>
                <w:rFonts w:ascii="Arial" w:cs="Arial" w:eastAsia="Arial" w:hAnsi="Arial"/>
                <w:sz w:val="16"/>
                <w:szCs w:val="16"/>
                <w:color w:val="auto"/>
              </w:rPr>
              <w:t>Payments and other adjustments</w:t>
            </w:r>
          </w:p>
        </w:tc>
        <w:tc>
          <w:tcPr>
            <w:tcW w:w="2160" w:type="dxa"/>
            <w:vAlign w:val="bottom"/>
          </w:tcPr>
          <w:p>
            <w:pPr>
              <w:spacing w:after="0"/>
              <w:rPr>
                <w:sz w:val="19"/>
                <w:szCs w:val="19"/>
                <w:color w:val="auto"/>
              </w:rPr>
            </w:pPr>
          </w:p>
        </w:tc>
        <w:tc>
          <w:tcPr>
            <w:tcW w:w="1460" w:type="dxa"/>
            <w:vAlign w:val="bottom"/>
          </w:tcPr>
          <w:p>
            <w:pPr>
              <w:jc w:val="center"/>
              <w:ind w:left="1039"/>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(15)</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9"/>
        </w:trPr>
        <w:tc>
          <w:tcPr>
            <w:tcW w:w="44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4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December 31, 2025</w:t>
            </w:r>
          </w:p>
        </w:tc>
        <w:tc>
          <w:tcPr>
            <w:tcW w:w="2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tcBorders>
              <w:bottom w:val="single" w:sz="8" w:color="E4E4E4"/>
            </w:tcBorders>
            <w:shd w:val="clear" w:color="auto" w:fill="E4E4E4"/>
          </w:tcPr>
          <w:p>
            <w:pPr>
              <w:jc w:val="center"/>
              <w:ind w:left="1039"/>
              <w:spacing w:after="0"/>
              <w:rPr>
                <w:sz w:val="20"/>
                <w:szCs w:val="20"/>
                <w:color w:val="auto"/>
              </w:rPr>
            </w:pPr>
            <w:r>
              <w:rPr>
                <w:rFonts w:ascii="Arial" w:cs="Arial" w:eastAsia="Arial" w:hAnsi="Arial"/>
                <w:sz w:val="16"/>
                <w:szCs w:val="16"/>
                <w:b w:val="1"/>
                <w:bCs w:val="1"/>
                <w:color w:val="auto"/>
              </w:rPr>
              <w:t>82</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92</w:t>
            </w:r>
          </w:p>
        </w:tc>
      </w:tr>
      <w:tr>
        <w:trPr>
          <w:trHeight w:val="20"/>
        </w:trPr>
        <w:tc>
          <w:tcPr>
            <w:tcW w:w="446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SHARE-BASED COMPENSATION</w:t>
      </w:r>
    </w:p>
    <w:p>
      <w:pPr>
        <w:spacing w:after="0" w:line="21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We grant stock options, restricted stock units (“RSUs”), and performance stock units (“PSUs”) to employees under the 2023 Long-Term Incentive Plan (“LTIP”). The Talent, Culture, and Compensation Committee of the Board of Directors approves grants under the LTIP. Under the LTIP, we are authorized to issue up to approximately 41 million shares. We record compensation expense for awards expected to vest over the vesting period. We estimate forfeitures based on experience and adjust expense to reflect actual forfeitures. When options are exercised, RSUs vest, and PSUs are earned, we issue shares from authorized unissued common stock.</w:t>
      </w:r>
    </w:p>
    <w:p>
      <w:pPr>
        <w:spacing w:after="0" w:line="21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Stock options provide employees the opportunity to purchase GE HealthCare shares in the future at the market price of our stock on the date the award is granted. The options become exercisable over the vesting period, typically becoming fully vested in three to three and a half years, and expire ten years from the grant date if not exercised. We value stock options using a Black-Scholes option pricing model.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RSUs provide an employee the right to shares of GE HealthCare stock when the restrictions lapse over the vesting period of three to three and a half years.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Upon vesting, each RSU is converted into one share of GE HealthCare common stock. We value RSUs using the market price on the grant date.</w:t>
      </w:r>
    </w:p>
    <w:p>
      <w:pPr>
        <w:spacing w:after="0" w:line="246"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PSUs provide an employee with the right to receive shares of GE HealthCare stock based upon achievement of certain performance metrics. PSUs are subject to an employee service period of three years. PSUs may include a relative total shareholder return (“TSR”) modifier to determine the number of shares earned at the end of the performance period. We engage third-party valuation specialists to assist with the fair value estimate of the PSUs that include the TSR modifier using a Monte Carlo simulation to model the probability of possible outcomes.</w:t>
      </w:r>
    </w:p>
    <w:p>
      <w:pPr>
        <w:spacing w:after="0" w:line="20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tables provide the weighted average fair value of options, RSUs, and PSUs granted to employees during the years ended December 31, 2025, 2024, and 2023, and the related weighted average stock option valuation assumptions used in the Black-Scholes model.</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Weighted Average Grant Date Fair Value</w:t>
            </w:r>
          </w:p>
        </w:tc>
        <w:tc>
          <w:tcPr>
            <w:tcW w:w="400" w:type="dxa"/>
            <w:vAlign w:val="bottom"/>
          </w:tcPr>
          <w:p>
            <w:pPr>
              <w:spacing w:after="0"/>
              <w:rPr>
                <w:sz w:val="19"/>
                <w:szCs w:val="19"/>
                <w:color w:val="auto"/>
              </w:rPr>
            </w:pPr>
          </w:p>
        </w:tc>
        <w:tc>
          <w:tcPr>
            <w:tcW w:w="3480" w:type="dxa"/>
            <w:vAlign w:val="bottom"/>
            <w:gridSpan w:val="4"/>
          </w:tcPr>
          <w:p>
            <w:pPr>
              <w:jc w:val="right"/>
              <w:ind w:right="19"/>
              <w:spacing w:after="0"/>
              <w:rPr>
                <w:sz w:val="20"/>
                <w:szCs w:val="20"/>
                <w:color w:val="auto"/>
              </w:rPr>
            </w:pPr>
            <w:r>
              <w:rPr>
                <w:rFonts w:ascii="Arial" w:cs="Arial" w:eastAsia="Arial" w:hAnsi="Arial"/>
                <w:sz w:val="16"/>
                <w:szCs w:val="16"/>
                <w:b w:val="1"/>
                <w:bCs w:val="1"/>
                <w:color w:val="454545"/>
              </w:rPr>
              <w:t>For the years ended December 31</w:t>
            </w:r>
          </w:p>
        </w:tc>
        <w:tc>
          <w:tcPr>
            <w:tcW w:w="1080" w:type="dxa"/>
            <w:vAlign w:val="bottom"/>
          </w:tcPr>
          <w:p>
            <w:pPr>
              <w:spacing w:after="0"/>
              <w:rPr>
                <w:sz w:val="19"/>
                <w:szCs w:val="19"/>
                <w:color w:val="auto"/>
              </w:rPr>
            </w:pPr>
          </w:p>
        </w:tc>
      </w:tr>
      <w:tr>
        <w:trPr>
          <w:trHeight w:val="21"/>
        </w:trPr>
        <w:tc>
          <w:tcPr>
            <w:tcW w:w="6280" w:type="dxa"/>
            <w:vAlign w:val="bottom"/>
          </w:tcPr>
          <w:p>
            <w:pPr>
              <w:spacing w:after="0" w:line="20" w:lineRule="exact"/>
              <w:rPr>
                <w:sz w:val="1"/>
                <w:szCs w:val="1"/>
                <w:color w:val="auto"/>
              </w:rPr>
            </w:pPr>
          </w:p>
        </w:tc>
        <w:tc>
          <w:tcPr>
            <w:tcW w:w="40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380" w:type="dxa"/>
            <w:vAlign w:val="bottom"/>
            <w:tcBorders>
              <w:bottom w:val="single" w:sz="8" w:color="454545"/>
            </w:tcBorders>
          </w:tcPr>
          <w:p>
            <w:pPr>
              <w:spacing w:after="0" w:line="20" w:lineRule="exact"/>
              <w:rPr>
                <w:sz w:val="1"/>
                <w:szCs w:val="1"/>
                <w:color w:val="auto"/>
              </w:rPr>
            </w:pPr>
          </w:p>
        </w:tc>
        <w:tc>
          <w:tcPr>
            <w:tcW w:w="1200" w:type="dxa"/>
            <w:vAlign w:val="bottom"/>
            <w:tcBorders>
              <w:bottom w:val="single" w:sz="8" w:color="454545"/>
            </w:tcBorders>
          </w:tcPr>
          <w:p>
            <w:pPr>
              <w:spacing w:after="0" w:line="20" w:lineRule="exact"/>
              <w:rPr>
                <w:sz w:val="1"/>
                <w:szCs w:val="1"/>
                <w:color w:val="auto"/>
              </w:rPr>
            </w:pPr>
          </w:p>
        </w:tc>
        <w:tc>
          <w:tcPr>
            <w:tcW w:w="52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r>
      <w:tr>
        <w:trPr>
          <w:trHeight w:val="246"/>
        </w:trPr>
        <w:tc>
          <w:tcPr>
            <w:tcW w:w="6280" w:type="dxa"/>
            <w:vAlign w:val="bottom"/>
            <w:tcBorders>
              <w:bottom w:val="single" w:sz="8" w:color="6022A6"/>
            </w:tcBorders>
          </w:tcPr>
          <w:p>
            <w:pPr>
              <w:ind w:left="20"/>
              <w:spacing w:after="0"/>
              <w:rPr>
                <w:sz w:val="20"/>
                <w:szCs w:val="20"/>
                <w:color w:val="auto"/>
              </w:rPr>
            </w:pPr>
            <w:r>
              <w:rPr>
                <w:rFonts w:ascii="Arial" w:cs="Arial" w:eastAsia="Arial" w:hAnsi="Arial"/>
                <w:sz w:val="16"/>
                <w:szCs w:val="16"/>
                <w:b w:val="1"/>
                <w:bCs w:val="1"/>
                <w:i w:val="1"/>
                <w:iCs w:val="1"/>
                <w:color w:val="454545"/>
              </w:rPr>
              <w:t>(In dollars)</w:t>
            </w:r>
          </w:p>
        </w:tc>
        <w:tc>
          <w:tcPr>
            <w:tcW w:w="400" w:type="dxa"/>
            <w:vAlign w:val="bottom"/>
            <w:tcBorders>
              <w:bottom w:val="single" w:sz="8" w:color="6022A6"/>
            </w:tcBorders>
          </w:tcPr>
          <w:p>
            <w:pPr>
              <w:spacing w:after="0"/>
              <w:rPr>
                <w:sz w:val="21"/>
                <w:szCs w:val="21"/>
                <w:color w:val="auto"/>
              </w:rPr>
            </w:pPr>
          </w:p>
        </w:tc>
        <w:tc>
          <w:tcPr>
            <w:tcW w:w="1380" w:type="dxa"/>
            <w:vAlign w:val="bottom"/>
            <w:tcBorders>
              <w:bottom w:val="single" w:sz="8" w:color="6022A6"/>
            </w:tcBorders>
          </w:tcPr>
          <w:p>
            <w:pPr>
              <w:jc w:val="right"/>
              <w:ind w:right="619"/>
              <w:spacing w:after="0"/>
              <w:rPr>
                <w:sz w:val="20"/>
                <w:szCs w:val="20"/>
                <w:color w:val="auto"/>
              </w:rPr>
            </w:pPr>
            <w:r>
              <w:rPr>
                <w:rFonts w:ascii="Arial" w:cs="Arial" w:eastAsia="Arial" w:hAnsi="Arial"/>
                <w:sz w:val="16"/>
                <w:szCs w:val="16"/>
                <w:b w:val="1"/>
                <w:bCs w:val="1"/>
                <w:color w:val="454545"/>
              </w:rPr>
              <w:t>2025</w:t>
            </w:r>
          </w:p>
        </w:tc>
        <w:tc>
          <w:tcPr>
            <w:tcW w:w="380" w:type="dxa"/>
            <w:vAlign w:val="bottom"/>
            <w:tcBorders>
              <w:bottom w:val="single" w:sz="8" w:color="6022A6"/>
            </w:tcBorders>
          </w:tcPr>
          <w:p>
            <w:pPr>
              <w:spacing w:after="0"/>
              <w:rPr>
                <w:sz w:val="21"/>
                <w:szCs w:val="21"/>
                <w:color w:val="auto"/>
              </w:rPr>
            </w:pPr>
          </w:p>
        </w:tc>
        <w:tc>
          <w:tcPr>
            <w:tcW w:w="1200" w:type="dxa"/>
            <w:vAlign w:val="bottom"/>
            <w:tcBorders>
              <w:bottom w:val="single" w:sz="8" w:color="6022A6"/>
            </w:tcBorders>
          </w:tcPr>
          <w:p>
            <w:pPr>
              <w:jc w:val="right"/>
              <w:ind w:right="499"/>
              <w:spacing w:after="0"/>
              <w:rPr>
                <w:sz w:val="20"/>
                <w:szCs w:val="20"/>
                <w:color w:val="auto"/>
              </w:rPr>
            </w:pPr>
            <w:r>
              <w:rPr>
                <w:rFonts w:ascii="Arial" w:cs="Arial" w:eastAsia="Arial" w:hAnsi="Arial"/>
                <w:sz w:val="16"/>
                <w:szCs w:val="16"/>
                <w:b w:val="1"/>
                <w:bCs w:val="1"/>
                <w:color w:val="454545"/>
              </w:rPr>
              <w:t>2024</w:t>
            </w:r>
          </w:p>
        </w:tc>
        <w:tc>
          <w:tcPr>
            <w:tcW w:w="520" w:type="dxa"/>
            <w:vAlign w:val="bottom"/>
            <w:tcBorders>
              <w:bottom w:val="single" w:sz="8" w:color="6022A6"/>
            </w:tcBorders>
          </w:tcPr>
          <w:p>
            <w:pPr>
              <w:spacing w:after="0"/>
              <w:rPr>
                <w:sz w:val="21"/>
                <w:szCs w:val="21"/>
                <w:color w:val="auto"/>
              </w:rPr>
            </w:pPr>
          </w:p>
        </w:tc>
        <w:tc>
          <w:tcPr>
            <w:tcW w:w="108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2023</w:t>
            </w:r>
          </w:p>
        </w:tc>
      </w:tr>
      <w:tr>
        <w:trPr>
          <w:trHeight w:val="234"/>
        </w:trPr>
        <w:tc>
          <w:tcPr>
            <w:tcW w:w="6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Stock options</w:t>
            </w:r>
          </w:p>
        </w:tc>
        <w:tc>
          <w:tcPr>
            <w:tcW w:w="40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38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520" w:type="dxa"/>
            <w:vAlign w:val="bottom"/>
            <w:tcBorders>
              <w:bottom w:val="single" w:sz="8" w:color="E4E4E4"/>
            </w:tcBorders>
            <w:shd w:val="clear" w:color="auto" w:fill="E4E4E4"/>
          </w:tcPr>
          <w:p>
            <w:pPr>
              <w:jc w:val="right"/>
              <w:ind w:right="3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w:t>
            </w:r>
          </w:p>
        </w:tc>
      </w:tr>
      <w:tr>
        <w:trPr>
          <w:trHeight w:val="228"/>
        </w:trPr>
        <w:tc>
          <w:tcPr>
            <w:tcW w:w="6280" w:type="dxa"/>
            <w:vAlign w:val="bottom"/>
          </w:tcPr>
          <w:p>
            <w:pPr>
              <w:ind w:left="20"/>
              <w:spacing w:after="0"/>
              <w:rPr>
                <w:sz w:val="20"/>
                <w:szCs w:val="20"/>
                <w:color w:val="auto"/>
              </w:rPr>
            </w:pPr>
            <w:r>
              <w:rPr>
                <w:rFonts w:ascii="Arial" w:cs="Arial" w:eastAsia="Arial" w:hAnsi="Arial"/>
                <w:sz w:val="16"/>
                <w:szCs w:val="16"/>
                <w:color w:val="auto"/>
              </w:rPr>
              <w:t>RSUs</w:t>
            </w: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9"/>
        </w:trPr>
        <w:tc>
          <w:tcPr>
            <w:tcW w:w="6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6"/>
        </w:trPr>
        <w:tc>
          <w:tcPr>
            <w:tcW w:w="628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PSUs</w:t>
            </w:r>
          </w:p>
        </w:tc>
        <w:tc>
          <w:tcPr>
            <w:tcW w:w="400" w:type="dxa"/>
            <w:vAlign w:val="bottom"/>
            <w:tcBorders>
              <w:bottom w:val="single" w:sz="8" w:color="E4E4E4"/>
            </w:tcBorders>
            <w:shd w:val="clear" w:color="auto" w:fill="E4E4E4"/>
          </w:tcPr>
          <w:p>
            <w:pPr>
              <w:spacing w:after="0"/>
              <w:rPr>
                <w:sz w:val="20"/>
                <w:szCs w:val="20"/>
                <w:color w:val="auto"/>
              </w:rPr>
            </w:pP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c>
          <w:tcPr>
            <w:tcW w:w="380" w:type="dxa"/>
            <w:vAlign w:val="bottom"/>
            <w:tcBorders>
              <w:bottom w:val="single" w:sz="8" w:color="E4E4E4"/>
            </w:tcBorders>
            <w:shd w:val="clear" w:color="auto" w:fill="E4E4E4"/>
          </w:tcPr>
          <w:p>
            <w:pPr>
              <w:spacing w:after="0"/>
              <w:rPr>
                <w:sz w:val="20"/>
                <w:szCs w:val="20"/>
                <w:color w:val="auto"/>
              </w:rPr>
            </w:pPr>
          </w:p>
        </w:tc>
        <w:tc>
          <w:tcPr>
            <w:tcW w:w="1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96</w:t>
            </w:r>
          </w:p>
        </w:tc>
        <w:tc>
          <w:tcPr>
            <w:tcW w:w="520" w:type="dxa"/>
            <w:vAlign w:val="bottom"/>
            <w:tcBorders>
              <w:bottom w:val="single" w:sz="8" w:color="E4E4E4"/>
            </w:tcBorders>
            <w:shd w:val="clear" w:color="auto" w:fill="E4E4E4"/>
          </w:tcPr>
          <w:p>
            <w:pPr>
              <w:spacing w:after="0"/>
              <w:rPr>
                <w:sz w:val="20"/>
                <w:szCs w:val="20"/>
                <w:color w:val="auto"/>
              </w:rPr>
            </w:pPr>
          </w:p>
        </w:tc>
        <w:tc>
          <w:tcPr>
            <w:tcW w:w="10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w:t>
            </w:r>
          </w:p>
        </w:tc>
      </w:tr>
      <w:tr>
        <w:trPr>
          <w:trHeight w:val="20"/>
        </w:trPr>
        <w:tc>
          <w:tcPr>
            <w:tcW w:w="6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60" w:type="dxa"/>
            <w:vAlign w:val="bottom"/>
            <w:gridSpan w:val="2"/>
          </w:tcPr>
          <w:p>
            <w:pPr>
              <w:ind w:left="20"/>
              <w:spacing w:after="0"/>
              <w:rPr>
                <w:sz w:val="20"/>
                <w:szCs w:val="20"/>
                <w:color w:val="auto"/>
              </w:rPr>
            </w:pPr>
            <w:r>
              <w:rPr>
                <w:rFonts w:ascii="Arial" w:cs="Arial" w:eastAsia="Arial" w:hAnsi="Arial"/>
                <w:sz w:val="16"/>
                <w:szCs w:val="16"/>
                <w:b w:val="1"/>
                <w:bCs w:val="1"/>
                <w:color w:val="auto"/>
              </w:rPr>
              <w:t>Key Assumptions in the Black-Scholes Valuation for Stock Options</w:t>
            </w:r>
          </w:p>
        </w:tc>
        <w:tc>
          <w:tcPr>
            <w:tcW w:w="28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454545"/>
              </w:rPr>
              <w:t>For the years ended December 31</w:t>
            </w:r>
          </w:p>
        </w:tc>
        <w:tc>
          <w:tcPr>
            <w:tcW w:w="1160" w:type="dxa"/>
            <w:vAlign w:val="bottom"/>
          </w:tcPr>
          <w:p>
            <w:pPr>
              <w:spacing w:after="0"/>
              <w:rPr>
                <w:sz w:val="19"/>
                <w:szCs w:val="19"/>
                <w:color w:val="auto"/>
              </w:rPr>
            </w:pPr>
          </w:p>
        </w:tc>
      </w:tr>
      <w:tr>
        <w:trPr>
          <w:trHeight w:val="21"/>
        </w:trPr>
        <w:tc>
          <w:tcPr>
            <w:tcW w:w="6040" w:type="dxa"/>
            <w:vAlign w:val="bottom"/>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c>
          <w:tcPr>
            <w:tcW w:w="1160" w:type="dxa"/>
            <w:vAlign w:val="bottom"/>
            <w:tcBorders>
              <w:bottom w:val="single" w:sz="8" w:color="454545"/>
            </w:tcBorders>
          </w:tcPr>
          <w:p>
            <w:pPr>
              <w:spacing w:after="0" w:line="20" w:lineRule="exact"/>
              <w:rPr>
                <w:sz w:val="1"/>
                <w:szCs w:val="1"/>
                <w:color w:val="auto"/>
              </w:rPr>
            </w:pPr>
          </w:p>
        </w:tc>
      </w:tr>
      <w:tr>
        <w:trPr>
          <w:trHeight w:val="229"/>
        </w:trPr>
        <w:tc>
          <w:tcPr>
            <w:tcW w:w="7260" w:type="dxa"/>
            <w:vAlign w:val="bottom"/>
            <w:gridSpan w:val="2"/>
          </w:tcPr>
          <w:p>
            <w:pPr>
              <w:ind w:left="6800"/>
              <w:spacing w:after="0"/>
              <w:rPr>
                <w:sz w:val="20"/>
                <w:szCs w:val="20"/>
                <w:color w:val="auto"/>
              </w:rPr>
            </w:pPr>
            <w:r>
              <w:rPr>
                <w:rFonts w:ascii="Arial" w:cs="Arial" w:eastAsia="Arial" w:hAnsi="Arial"/>
                <w:sz w:val="16"/>
                <w:szCs w:val="16"/>
                <w:b w:val="1"/>
                <w:bCs w:val="1"/>
                <w:color w:val="454545"/>
              </w:rPr>
              <w:t>2025</w:t>
            </w:r>
          </w:p>
        </w:tc>
        <w:tc>
          <w:tcPr>
            <w:tcW w:w="980" w:type="dxa"/>
            <w:vAlign w:val="bottom"/>
          </w:tcPr>
          <w:p>
            <w:pPr>
              <w:spacing w:after="0"/>
              <w:rPr>
                <w:sz w:val="19"/>
                <w:szCs w:val="19"/>
                <w:color w:val="auto"/>
              </w:rPr>
            </w:pPr>
          </w:p>
        </w:tc>
        <w:tc>
          <w:tcPr>
            <w:tcW w:w="1840" w:type="dxa"/>
            <w:vAlign w:val="bottom"/>
          </w:tcPr>
          <w:p>
            <w:pPr>
              <w:jc w:val="right"/>
              <w:ind w:right="1079"/>
              <w:spacing w:after="0"/>
              <w:rPr>
                <w:sz w:val="20"/>
                <w:szCs w:val="20"/>
                <w:color w:val="auto"/>
              </w:rPr>
            </w:pPr>
            <w:r>
              <w:rPr>
                <w:rFonts w:ascii="Arial" w:cs="Arial" w:eastAsia="Arial" w:hAnsi="Arial"/>
                <w:sz w:val="16"/>
                <w:szCs w:val="16"/>
                <w:b w:val="1"/>
                <w:bCs w:val="1"/>
                <w:color w:val="454545"/>
              </w:rPr>
              <w:t>2024</w:t>
            </w:r>
          </w:p>
        </w:tc>
        <w:tc>
          <w:tcPr>
            <w:tcW w:w="1160" w:type="dxa"/>
            <w:vAlign w:val="bottom"/>
          </w:tcPr>
          <w:p>
            <w:pPr>
              <w:jc w:val="right"/>
              <w:ind w:right="579"/>
              <w:spacing w:after="0"/>
              <w:rPr>
                <w:sz w:val="20"/>
                <w:szCs w:val="20"/>
                <w:color w:val="auto"/>
              </w:rPr>
            </w:pPr>
            <w:r>
              <w:rPr>
                <w:rFonts w:ascii="Arial" w:cs="Arial" w:eastAsia="Arial" w:hAnsi="Arial"/>
                <w:sz w:val="16"/>
                <w:szCs w:val="16"/>
                <w:b w:val="1"/>
                <w:bCs w:val="1"/>
                <w:color w:val="454545"/>
              </w:rPr>
              <w:t>2023</w:t>
            </w:r>
          </w:p>
        </w:tc>
      </w:tr>
      <w:tr>
        <w:trPr>
          <w:trHeight w:val="21"/>
        </w:trPr>
        <w:tc>
          <w:tcPr>
            <w:tcW w:w="6040" w:type="dxa"/>
            <w:vAlign w:val="bottom"/>
            <w:tcBorders>
              <w:bottom w:val="single" w:sz="8" w:color="6022A6"/>
            </w:tcBorders>
          </w:tcPr>
          <w:p>
            <w:pPr>
              <w:spacing w:after="0" w:line="20" w:lineRule="exact"/>
              <w:rPr>
                <w:sz w:val="1"/>
                <w:szCs w:val="1"/>
                <w:color w:val="auto"/>
              </w:rPr>
            </w:pPr>
          </w:p>
        </w:tc>
        <w:tc>
          <w:tcPr>
            <w:tcW w:w="12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1840" w:type="dxa"/>
            <w:vAlign w:val="bottom"/>
            <w:tcBorders>
              <w:bottom w:val="single" w:sz="8" w:color="6022A6"/>
            </w:tcBorders>
          </w:tcPr>
          <w:p>
            <w:pPr>
              <w:spacing w:after="0" w:line="20" w:lineRule="exact"/>
              <w:rPr>
                <w:sz w:val="1"/>
                <w:szCs w:val="1"/>
                <w:color w:val="auto"/>
              </w:rPr>
            </w:pPr>
          </w:p>
        </w:tc>
        <w:tc>
          <w:tcPr>
            <w:tcW w:w="1160" w:type="dxa"/>
            <w:vAlign w:val="bottom"/>
            <w:tcBorders>
              <w:bottom w:val="single" w:sz="8" w:color="6022A6"/>
            </w:tcBorders>
          </w:tcPr>
          <w:p>
            <w:pPr>
              <w:spacing w:after="0" w:line="20" w:lineRule="exact"/>
              <w:rPr>
                <w:sz w:val="1"/>
                <w:szCs w:val="1"/>
                <w:color w:val="auto"/>
              </w:rPr>
            </w:pPr>
          </w:p>
        </w:tc>
      </w:tr>
      <w:tr>
        <w:trPr>
          <w:trHeight w:val="230"/>
        </w:trPr>
        <w:tc>
          <w:tcPr>
            <w:tcW w:w="726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Risk-free rate</w:t>
            </w:r>
          </w:p>
        </w:tc>
        <w:tc>
          <w:tcPr>
            <w:tcW w:w="98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color w:val="auto"/>
              </w:rPr>
              <w:t>4.0 %</w:t>
            </w:r>
          </w:p>
        </w:tc>
        <w:tc>
          <w:tcPr>
            <w:tcW w:w="1840" w:type="dxa"/>
            <w:vAlign w:val="bottom"/>
            <w:tcBorders>
              <w:bottom w:val="single" w:sz="8" w:color="E4E4E4"/>
            </w:tcBorders>
            <w:shd w:val="clear" w:color="auto" w:fill="E4E4E4"/>
          </w:tcPr>
          <w:p>
            <w:pPr>
              <w:jc w:val="right"/>
              <w:ind w:right="439"/>
              <w:spacing w:after="0"/>
              <w:rPr>
                <w:sz w:val="20"/>
                <w:szCs w:val="20"/>
                <w:color w:val="auto"/>
              </w:rPr>
            </w:pPr>
            <w:r>
              <w:rPr>
                <w:rFonts w:ascii="Arial" w:cs="Arial" w:eastAsia="Arial" w:hAnsi="Arial"/>
                <w:sz w:val="16"/>
                <w:szCs w:val="16"/>
                <w:color w:val="auto"/>
              </w:rPr>
              <w:t>4.1 %</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3.6 %</w:t>
            </w:r>
          </w:p>
        </w:tc>
      </w:tr>
      <w:tr>
        <w:trPr>
          <w:trHeight w:val="228"/>
        </w:trPr>
        <w:tc>
          <w:tcPr>
            <w:tcW w:w="7260" w:type="dxa"/>
            <w:vAlign w:val="bottom"/>
            <w:gridSpan w:val="2"/>
          </w:tcPr>
          <w:p>
            <w:pPr>
              <w:ind w:left="20"/>
              <w:spacing w:after="0"/>
              <w:rPr>
                <w:sz w:val="20"/>
                <w:szCs w:val="20"/>
                <w:color w:val="auto"/>
              </w:rPr>
            </w:pPr>
            <w:r>
              <w:rPr>
                <w:rFonts w:ascii="Arial" w:cs="Arial" w:eastAsia="Arial" w:hAnsi="Arial"/>
                <w:sz w:val="16"/>
                <w:szCs w:val="16"/>
                <w:color w:val="auto"/>
              </w:rPr>
              <w:t>Dividend yield</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0.16 %</w:t>
            </w:r>
          </w:p>
        </w:tc>
        <w:tc>
          <w:tcPr>
            <w:tcW w:w="1840" w:type="dxa"/>
            <w:vAlign w:val="bottom"/>
          </w:tcPr>
          <w:p>
            <w:pPr>
              <w:jc w:val="right"/>
              <w:ind w:right="439"/>
              <w:spacing w:after="0"/>
              <w:rPr>
                <w:sz w:val="20"/>
                <w:szCs w:val="20"/>
                <w:color w:val="auto"/>
              </w:rPr>
            </w:pPr>
            <w:r>
              <w:rPr>
                <w:rFonts w:ascii="Arial" w:cs="Arial" w:eastAsia="Arial" w:hAnsi="Arial"/>
                <w:sz w:val="16"/>
                <w:szCs w:val="16"/>
                <w:color w:val="auto"/>
              </w:rPr>
              <w:t>0.13 %</w:t>
            </w:r>
          </w:p>
        </w:tc>
        <w:tc>
          <w:tcPr>
            <w:tcW w:w="1160" w:type="dxa"/>
            <w:vAlign w:val="bottom"/>
          </w:tcPr>
          <w:p>
            <w:pPr>
              <w:jc w:val="right"/>
              <w:spacing w:after="0"/>
              <w:rPr>
                <w:sz w:val="20"/>
                <w:szCs w:val="20"/>
                <w:color w:val="auto"/>
              </w:rPr>
            </w:pPr>
            <w:r>
              <w:rPr>
                <w:rFonts w:ascii="Arial" w:cs="Arial" w:eastAsia="Arial" w:hAnsi="Arial"/>
                <w:sz w:val="16"/>
                <w:szCs w:val="16"/>
                <w:color w:val="auto"/>
              </w:rPr>
              <w:t>0.01 %</w:t>
            </w:r>
          </w:p>
        </w:tc>
      </w:tr>
      <w:tr>
        <w:trPr>
          <w:trHeight w:val="29"/>
        </w:trPr>
        <w:tc>
          <w:tcPr>
            <w:tcW w:w="60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7"/>
        </w:trPr>
        <w:tc>
          <w:tcPr>
            <w:tcW w:w="726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color w:val="auto"/>
              </w:rPr>
              <w:t>Expected volatility</w:t>
            </w:r>
          </w:p>
        </w:tc>
        <w:tc>
          <w:tcPr>
            <w:tcW w:w="980" w:type="dxa"/>
            <w:vAlign w:val="bottom"/>
            <w:tcBorders>
              <w:bottom w:val="single" w:sz="8" w:color="E4E4E4"/>
            </w:tcBorders>
            <w:shd w:val="clear" w:color="auto" w:fill="E4E4E4"/>
          </w:tcPr>
          <w:p>
            <w:pPr>
              <w:jc w:val="right"/>
              <w:ind w:right="259"/>
              <w:spacing w:after="0"/>
              <w:rPr>
                <w:sz w:val="20"/>
                <w:szCs w:val="20"/>
                <w:color w:val="auto"/>
              </w:rPr>
            </w:pPr>
            <w:r>
              <w:rPr>
                <w:rFonts w:ascii="Arial" w:cs="Arial" w:eastAsia="Arial" w:hAnsi="Arial"/>
                <w:sz w:val="16"/>
                <w:szCs w:val="16"/>
                <w:color w:val="auto"/>
              </w:rPr>
              <w:t>26.7 %</w:t>
            </w:r>
          </w:p>
        </w:tc>
        <w:tc>
          <w:tcPr>
            <w:tcW w:w="1840" w:type="dxa"/>
            <w:vAlign w:val="bottom"/>
            <w:tcBorders>
              <w:bottom w:val="single" w:sz="8" w:color="E4E4E4"/>
            </w:tcBorders>
            <w:shd w:val="clear" w:color="auto" w:fill="E4E4E4"/>
          </w:tcPr>
          <w:p>
            <w:pPr>
              <w:jc w:val="right"/>
              <w:ind w:right="439"/>
              <w:spacing w:after="0"/>
              <w:rPr>
                <w:sz w:val="20"/>
                <w:szCs w:val="20"/>
                <w:color w:val="auto"/>
              </w:rPr>
            </w:pPr>
            <w:r>
              <w:rPr>
                <w:rFonts w:ascii="Arial" w:cs="Arial" w:eastAsia="Arial" w:hAnsi="Arial"/>
                <w:sz w:val="16"/>
                <w:szCs w:val="16"/>
                <w:color w:val="auto"/>
              </w:rPr>
              <w:t>26.2 %</w:t>
            </w:r>
          </w:p>
        </w:tc>
        <w:tc>
          <w:tcPr>
            <w:tcW w:w="11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26.2 %</w:t>
            </w:r>
          </w:p>
        </w:tc>
      </w:tr>
      <w:tr>
        <w:trPr>
          <w:trHeight w:val="228"/>
        </w:trPr>
        <w:tc>
          <w:tcPr>
            <w:tcW w:w="7260" w:type="dxa"/>
            <w:vAlign w:val="bottom"/>
            <w:gridSpan w:val="2"/>
          </w:tcPr>
          <w:p>
            <w:pPr>
              <w:ind w:left="20"/>
              <w:spacing w:after="0"/>
              <w:rPr>
                <w:sz w:val="20"/>
                <w:szCs w:val="20"/>
                <w:color w:val="auto"/>
              </w:rPr>
            </w:pPr>
            <w:r>
              <w:rPr>
                <w:rFonts w:ascii="Arial" w:cs="Arial" w:eastAsia="Arial" w:hAnsi="Arial"/>
                <w:sz w:val="16"/>
                <w:szCs w:val="16"/>
                <w:color w:val="auto"/>
              </w:rPr>
              <w:t>Expected term (in years)</w:t>
            </w:r>
          </w:p>
        </w:tc>
        <w:tc>
          <w:tcPr>
            <w:tcW w:w="980" w:type="dxa"/>
            <w:vAlign w:val="bottom"/>
          </w:tcPr>
          <w:p>
            <w:pPr>
              <w:jc w:val="right"/>
              <w:ind w:right="259"/>
              <w:spacing w:after="0"/>
              <w:rPr>
                <w:sz w:val="20"/>
                <w:szCs w:val="20"/>
                <w:color w:val="auto"/>
              </w:rPr>
            </w:pPr>
            <w:r>
              <w:rPr>
                <w:rFonts w:ascii="Arial" w:cs="Arial" w:eastAsia="Arial" w:hAnsi="Arial"/>
                <w:sz w:val="16"/>
                <w:szCs w:val="16"/>
                <w:color w:val="auto"/>
              </w:rPr>
              <w:t>6.2</w:t>
            </w:r>
          </w:p>
        </w:tc>
        <w:tc>
          <w:tcPr>
            <w:tcW w:w="1840" w:type="dxa"/>
            <w:vAlign w:val="bottom"/>
          </w:tcPr>
          <w:p>
            <w:pPr>
              <w:jc w:val="right"/>
              <w:ind w:right="439"/>
              <w:spacing w:after="0"/>
              <w:rPr>
                <w:sz w:val="20"/>
                <w:szCs w:val="20"/>
                <w:color w:val="auto"/>
              </w:rPr>
            </w:pPr>
            <w:r>
              <w:rPr>
                <w:rFonts w:ascii="Arial" w:cs="Arial" w:eastAsia="Arial" w:hAnsi="Arial"/>
                <w:sz w:val="16"/>
                <w:szCs w:val="16"/>
                <w:color w:val="auto"/>
              </w:rPr>
              <w:t>6.2</w:t>
            </w:r>
          </w:p>
        </w:tc>
        <w:tc>
          <w:tcPr>
            <w:tcW w:w="116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29"/>
        </w:trPr>
        <w:tc>
          <w:tcPr>
            <w:tcW w:w="60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24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For awards granted in 2023, 2024, and 2025, the expected volatility was derived from a peer group’s blended historical and implied volatility as GE HealthCare does not have sufficient historical volatility based on the expected term of the underlying options. The expected term of the stock options was determined using the simplified method. The risk-free interest rate was determined using the implied yield currently available for zero-coupon U.S. government issues with a remaining term approximating the expected life of the options. The dividend yield assumption is based on the expected annualized dividend payment at the date of grant.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Stock Option Activity</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6"/>
        </w:trPr>
        <w:tc>
          <w:tcPr>
            <w:tcW w:w="2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900" w:type="dxa"/>
            <w:vAlign w:val="bottom"/>
            <w:gridSpan w:val="6"/>
          </w:tcPr>
          <w:p>
            <w:pPr>
              <w:ind w:left="20"/>
              <w:spacing w:after="0"/>
              <w:rPr>
                <w:sz w:val="20"/>
                <w:szCs w:val="20"/>
                <w:color w:val="auto"/>
              </w:rPr>
            </w:pPr>
            <w:r>
              <w:rPr>
                <w:rFonts w:ascii="Arial" w:cs="Arial" w:eastAsia="Arial" w:hAnsi="Arial"/>
                <w:sz w:val="16"/>
                <w:szCs w:val="16"/>
                <w:b w:val="1"/>
                <w:bCs w:val="1"/>
                <w:color w:val="454545"/>
              </w:rPr>
              <w:t>Weighted average Weighted average</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03"/>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980" w:type="dxa"/>
            <w:vAlign w:val="bottom"/>
            <w:gridSpan w:val="3"/>
          </w:tcPr>
          <w:p>
            <w:pPr>
              <w:jc w:val="right"/>
              <w:ind w:right="399"/>
              <w:spacing w:after="0"/>
              <w:rPr>
                <w:sz w:val="20"/>
                <w:szCs w:val="20"/>
                <w:color w:val="auto"/>
              </w:rPr>
            </w:pPr>
            <w:r>
              <w:rPr>
                <w:rFonts w:ascii="Arial" w:cs="Arial" w:eastAsia="Arial" w:hAnsi="Arial"/>
                <w:sz w:val="16"/>
                <w:szCs w:val="16"/>
                <w:b w:val="1"/>
                <w:bCs w:val="1"/>
                <w:color w:val="454545"/>
              </w:rPr>
              <w:t>Shares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59"/>
              <w:spacing w:after="0"/>
              <w:rPr>
                <w:sz w:val="20"/>
                <w:szCs w:val="20"/>
                <w:color w:val="auto"/>
              </w:rPr>
            </w:pPr>
            <w:r>
              <w:rPr>
                <w:rFonts w:ascii="Arial" w:cs="Arial" w:eastAsia="Arial" w:hAnsi="Arial"/>
                <w:sz w:val="16"/>
                <w:szCs w:val="16"/>
                <w:b w:val="1"/>
                <w:bCs w:val="1"/>
                <w:color w:val="454545"/>
              </w:rPr>
              <w:t>exercise price</w:t>
            </w: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contractual term</w:t>
            </w:r>
          </w:p>
        </w:tc>
        <w:tc>
          <w:tcPr>
            <w:tcW w:w="14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Intrinsic value</w:t>
            </w:r>
          </w:p>
        </w:tc>
      </w:tr>
      <w:tr>
        <w:trPr>
          <w:trHeight w:val="223"/>
        </w:trPr>
        <w:tc>
          <w:tcPr>
            <w:tcW w:w="2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980" w:type="dxa"/>
            <w:vAlign w:val="bottom"/>
            <w:gridSpan w:val="3"/>
          </w:tcPr>
          <w:p>
            <w:pPr>
              <w:jc w:val="right"/>
              <w:ind w:right="119"/>
              <w:spacing w:after="0"/>
              <w:rPr>
                <w:sz w:val="20"/>
                <w:szCs w:val="20"/>
                <w:color w:val="auto"/>
              </w:rPr>
            </w:pPr>
            <w:r>
              <w:rPr>
                <w:rFonts w:ascii="Arial" w:cs="Arial" w:eastAsia="Arial" w:hAnsi="Arial"/>
                <w:sz w:val="16"/>
                <w:szCs w:val="16"/>
                <w:b w:val="1"/>
                <w:bCs w:val="1"/>
                <w:color w:val="454545"/>
              </w:rPr>
              <w:t>(in thousands)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(in dollars)</w:t>
            </w:r>
          </w:p>
        </w:tc>
        <w:tc>
          <w:tcPr>
            <w:tcW w:w="220" w:type="dxa"/>
            <w:vAlign w:val="bottom"/>
          </w:tcPr>
          <w:p>
            <w:pPr>
              <w:spacing w:after="0"/>
              <w:rPr>
                <w:sz w:val="19"/>
                <w:szCs w:val="19"/>
                <w:color w:val="auto"/>
              </w:rPr>
            </w:pPr>
          </w:p>
        </w:tc>
        <w:tc>
          <w:tcPr>
            <w:tcW w:w="15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(in years)</w:t>
            </w:r>
          </w:p>
        </w:tc>
        <w:tc>
          <w:tcPr>
            <w:tcW w:w="1480" w:type="dxa"/>
            <w:vAlign w:val="bottom"/>
            <w:gridSpan w:val="3"/>
          </w:tcPr>
          <w:p>
            <w:pPr>
              <w:jc w:val="right"/>
              <w:ind w:right="199"/>
              <w:spacing w:after="0"/>
              <w:rPr>
                <w:sz w:val="20"/>
                <w:szCs w:val="20"/>
                <w:color w:val="auto"/>
              </w:rPr>
            </w:pPr>
            <w:r>
              <w:rPr>
                <w:rFonts w:ascii="Arial" w:cs="Arial" w:eastAsia="Arial" w:hAnsi="Arial"/>
                <w:sz w:val="16"/>
                <w:szCs w:val="16"/>
                <w:b w:val="1"/>
                <w:bCs w:val="1"/>
                <w:color w:val="454545"/>
              </w:rPr>
              <w:t>(in millions)</w:t>
            </w:r>
          </w:p>
        </w:tc>
      </w:tr>
      <w:tr>
        <w:trPr>
          <w:trHeight w:val="21"/>
        </w:trPr>
        <w:tc>
          <w:tcPr>
            <w:tcW w:w="27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30"/>
        </w:trPr>
        <w:tc>
          <w:tcPr>
            <w:tcW w:w="2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Outstanding as of January 1, 2025</w:t>
            </w:r>
          </w:p>
        </w:tc>
        <w:tc>
          <w:tcPr>
            <w:tcW w:w="106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4,246</w:t>
            </w:r>
          </w:p>
        </w:tc>
        <w:tc>
          <w:tcPr>
            <w:tcW w:w="14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82</w:t>
            </w:r>
          </w:p>
        </w:tc>
        <w:tc>
          <w:tcPr>
            <w:tcW w:w="92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r>
      <w:tr>
        <w:trPr>
          <w:trHeight w:val="228"/>
        </w:trPr>
        <w:tc>
          <w:tcPr>
            <w:tcW w:w="27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85</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
        </w:trPr>
        <w:tc>
          <w:tcPr>
            <w:tcW w:w="2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27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Exercised/Vested</w:t>
            </w:r>
          </w:p>
        </w:tc>
        <w:tc>
          <w:tcPr>
            <w:tcW w:w="1060" w:type="dxa"/>
            <w:vAlign w:val="bottom"/>
            <w:tcBorders>
              <w:bottom w:val="single" w:sz="8" w:color="E4E4E4"/>
            </w:tcBorders>
            <w:shd w:val="clear" w:color="auto" w:fill="E4E4E4"/>
          </w:tcPr>
          <w:p>
            <w:pPr>
              <w:spacing w:after="0"/>
              <w:rPr>
                <w:sz w:val="20"/>
                <w:szCs w:val="20"/>
                <w:color w:val="auto"/>
              </w:rPr>
            </w:pPr>
          </w:p>
        </w:tc>
        <w:tc>
          <w:tcPr>
            <w:tcW w:w="12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(606)</w:t>
            </w:r>
          </w:p>
        </w:tc>
        <w:tc>
          <w:tcPr>
            <w:tcW w:w="60" w:type="dxa"/>
            <w:vAlign w:val="bottom"/>
            <w:tcBorders>
              <w:bottom w:val="single" w:sz="8" w:color="E4E4E4"/>
            </w:tcBorders>
            <w:shd w:val="clear" w:color="auto" w:fill="E4E4E4"/>
          </w:tcPr>
          <w:p>
            <w:pPr>
              <w:spacing w:after="0"/>
              <w:rPr>
                <w:sz w:val="20"/>
                <w:szCs w:val="20"/>
                <w:color w:val="auto"/>
              </w:rPr>
            </w:pPr>
          </w:p>
        </w:tc>
        <w:tc>
          <w:tcPr>
            <w:tcW w:w="80" w:type="dxa"/>
            <w:vAlign w:val="bottom"/>
            <w:tcBorders>
              <w:bottom w:val="single" w:sz="8" w:color="E4E4E4"/>
            </w:tcBorders>
            <w:shd w:val="clear" w:color="auto" w:fill="E4E4E4"/>
          </w:tcPr>
          <w:p>
            <w:pPr>
              <w:spacing w:after="0"/>
              <w:rPr>
                <w:sz w:val="20"/>
                <w:szCs w:val="20"/>
                <w:color w:val="auto"/>
              </w:rPr>
            </w:pPr>
          </w:p>
        </w:tc>
        <w:tc>
          <w:tcPr>
            <w:tcW w:w="1040" w:type="dxa"/>
            <w:vAlign w:val="bottom"/>
            <w:tcBorders>
              <w:bottom w:val="single" w:sz="8" w:color="E4E4E4"/>
            </w:tcBorders>
            <w:shd w:val="clear" w:color="auto" w:fill="E4E4E4"/>
          </w:tcPr>
          <w:p>
            <w:pPr>
              <w:spacing w:after="0"/>
              <w:rPr>
                <w:sz w:val="20"/>
                <w:szCs w:val="20"/>
                <w:color w:val="auto"/>
              </w:rPr>
            </w:pP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61</w:t>
            </w:r>
          </w:p>
        </w:tc>
        <w:tc>
          <w:tcPr>
            <w:tcW w:w="920" w:type="dxa"/>
            <w:vAlign w:val="bottom"/>
            <w:tcBorders>
              <w:bottom w:val="single" w:sz="8" w:color="E4E4E4"/>
            </w:tcBorders>
            <w:shd w:val="clear" w:color="auto" w:fill="E4E4E4"/>
          </w:tcPr>
          <w:p>
            <w:pPr>
              <w:spacing w:after="0"/>
              <w:rPr>
                <w:sz w:val="20"/>
                <w:szCs w:val="20"/>
                <w:color w:val="auto"/>
              </w:rPr>
            </w:pPr>
          </w:p>
        </w:tc>
        <w:tc>
          <w:tcPr>
            <w:tcW w:w="58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r>
      <w:tr>
        <w:trPr>
          <w:trHeight w:val="227"/>
        </w:trPr>
        <w:tc>
          <w:tcPr>
            <w:tcW w:w="272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79</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
        </w:trPr>
        <w:tc>
          <w:tcPr>
            <w:tcW w:w="2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1"/>
        </w:trPr>
        <w:tc>
          <w:tcPr>
            <w:tcW w:w="27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Expired</w:t>
            </w:r>
          </w:p>
        </w:tc>
        <w:tc>
          <w:tcPr>
            <w:tcW w:w="1060" w:type="dxa"/>
            <w:vAlign w:val="bottom"/>
            <w:tcBorders>
              <w:bottom w:val="single" w:sz="8" w:color="E4E4E4"/>
            </w:tcBorders>
            <w:shd w:val="clear" w:color="auto" w:fill="E4E4E4"/>
          </w:tcPr>
          <w:p>
            <w:pPr>
              <w:spacing w:after="0"/>
              <w:rPr>
                <w:sz w:val="22"/>
                <w:szCs w:val="22"/>
                <w:color w:val="auto"/>
              </w:rPr>
            </w:pPr>
          </w:p>
        </w:tc>
        <w:tc>
          <w:tcPr>
            <w:tcW w:w="12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(339)</w:t>
            </w:r>
          </w:p>
        </w:tc>
        <w:tc>
          <w:tcPr>
            <w:tcW w:w="1400" w:type="dxa"/>
            <w:vAlign w:val="bottom"/>
            <w:tcBorders>
              <w:bottom w:val="single" w:sz="8" w:color="E4E4E4"/>
            </w:tcBorders>
            <w:gridSpan w:val="4"/>
            <w:shd w:val="clear" w:color="auto" w:fill="E4E4E4"/>
          </w:tcPr>
          <w:p>
            <w:pPr>
              <w:jc w:val="right"/>
              <w:spacing w:after="0"/>
              <w:rPr>
                <w:sz w:val="20"/>
                <w:szCs w:val="20"/>
                <w:color w:val="auto"/>
              </w:rPr>
            </w:pPr>
            <w:r>
              <w:rPr>
                <w:rFonts w:ascii="Arial" w:cs="Arial" w:eastAsia="Arial" w:hAnsi="Arial"/>
                <w:sz w:val="16"/>
                <w:szCs w:val="16"/>
                <w:color w:val="auto"/>
              </w:rPr>
              <w:t>126</w:t>
            </w:r>
          </w:p>
        </w:tc>
        <w:tc>
          <w:tcPr>
            <w:tcW w:w="920" w:type="dxa"/>
            <w:vAlign w:val="bottom"/>
            <w:tcBorders>
              <w:bottom w:val="single" w:sz="8" w:color="E4E4E4"/>
            </w:tcBorders>
            <w:shd w:val="clear" w:color="auto" w:fill="E4E4E4"/>
          </w:tcPr>
          <w:p>
            <w:pPr>
              <w:spacing w:after="0"/>
              <w:rPr>
                <w:sz w:val="22"/>
                <w:szCs w:val="22"/>
                <w:color w:val="auto"/>
              </w:rPr>
            </w:pPr>
          </w:p>
        </w:tc>
        <w:tc>
          <w:tcPr>
            <w:tcW w:w="580" w:type="dxa"/>
            <w:vAlign w:val="bottom"/>
            <w:tcBorders>
              <w:bottom w:val="single" w:sz="8" w:color="E4E4E4"/>
            </w:tcBorders>
            <w:shd w:val="clear" w:color="auto" w:fill="E4E4E4"/>
          </w:tcPr>
          <w:p>
            <w:pPr>
              <w:spacing w:after="0"/>
              <w:rPr>
                <w:sz w:val="22"/>
                <w:szCs w:val="22"/>
                <w:color w:val="auto"/>
              </w:rPr>
            </w:pPr>
          </w:p>
        </w:tc>
        <w:tc>
          <w:tcPr>
            <w:tcW w:w="42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spacing w:after="0"/>
              <w:rPr>
                <w:sz w:val="22"/>
                <w:szCs w:val="22"/>
                <w:color w:val="auto"/>
              </w:rPr>
            </w:pPr>
          </w:p>
        </w:tc>
      </w:tr>
      <w:tr>
        <w:trPr>
          <w:trHeight w:val="229"/>
        </w:trPr>
        <w:tc>
          <w:tcPr>
            <w:tcW w:w="37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Outstanding as of December 31, 2025</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3,760</w:t>
            </w: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6.0</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r>
      <w:tr>
        <w:trPr>
          <w:trHeight w:val="21"/>
        </w:trPr>
        <w:tc>
          <w:tcPr>
            <w:tcW w:w="37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5"/>
        </w:trPr>
        <w:tc>
          <w:tcPr>
            <w:tcW w:w="3780" w:type="dxa"/>
            <w:vAlign w:val="bottom"/>
            <w:tcBorders>
              <w:bottom w:val="single" w:sz="8" w:color="E4E4E4"/>
            </w:tcBorders>
            <w:gridSpan w:val="2"/>
            <w:shd w:val="clear" w:color="auto" w:fill="E4E4E4"/>
          </w:tcPr>
          <w:p>
            <w:pPr>
              <w:ind w:left="20"/>
              <w:spacing w:after="0"/>
              <w:rPr>
                <w:sz w:val="20"/>
                <w:szCs w:val="20"/>
                <w:color w:val="auto"/>
              </w:rPr>
            </w:pPr>
            <w:r>
              <w:rPr>
                <w:rFonts w:ascii="Arial" w:cs="Arial" w:eastAsia="Arial" w:hAnsi="Arial"/>
                <w:sz w:val="16"/>
                <w:szCs w:val="16"/>
                <w:b w:val="1"/>
                <w:bCs w:val="1"/>
                <w:color w:val="auto"/>
              </w:rPr>
              <w:t>Exercisable as of December 31, 2025</w:t>
            </w:r>
          </w:p>
        </w:tc>
        <w:tc>
          <w:tcPr>
            <w:tcW w:w="12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spacing w:after="0"/>
              <w:rPr>
                <w:sz w:val="21"/>
                <w:szCs w:val="21"/>
                <w:color w:val="auto"/>
              </w:rPr>
            </w:pPr>
          </w:p>
        </w:tc>
        <w:tc>
          <w:tcPr>
            <w:tcW w:w="980" w:type="dxa"/>
            <w:vAlign w:val="bottom"/>
            <w:tcBorders>
              <w:bottom w:val="single" w:sz="8" w:color="E4E4E4"/>
            </w:tcBorders>
            <w:shd w:val="clear" w:color="auto" w:fill="E4E4E4"/>
          </w:tcPr>
          <w:p>
            <w:pPr>
              <w:spacing w:after="0"/>
              <w:rPr>
                <w:sz w:val="21"/>
                <w:szCs w:val="21"/>
                <w:color w:val="auto"/>
              </w:rPr>
            </w:pPr>
          </w:p>
        </w:tc>
        <w:tc>
          <w:tcPr>
            <w:tcW w:w="160" w:type="dxa"/>
            <w:vAlign w:val="bottom"/>
            <w:tcBorders>
              <w:bottom w:val="single" w:sz="8" w:color="E4E4E4"/>
            </w:tcBorders>
            <w:shd w:val="clear" w:color="auto" w:fill="E4E4E4"/>
          </w:tcPr>
          <w:p>
            <w:pPr>
              <w:spacing w:after="0"/>
              <w:rPr>
                <w:sz w:val="21"/>
                <w:szCs w:val="21"/>
                <w:color w:val="auto"/>
              </w:rPr>
            </w:pPr>
          </w:p>
        </w:tc>
        <w:tc>
          <w:tcPr>
            <w:tcW w:w="8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b w:val="1"/>
                <w:bCs w:val="1"/>
                <w:color w:val="auto"/>
              </w:rPr>
              <w:t>2,219</w:t>
            </w:r>
          </w:p>
        </w:tc>
        <w:tc>
          <w:tcPr>
            <w:tcW w:w="140" w:type="dxa"/>
            <w:vAlign w:val="bottom"/>
            <w:tcBorders>
              <w:bottom w:val="single" w:sz="8" w:color="E4E4E4"/>
            </w:tcBorders>
            <w:gridSpan w:val="2"/>
            <w:shd w:val="clear" w:color="auto" w:fill="E4E4E4"/>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bottom w:val="single" w:sz="8" w:color="E4E4E4"/>
            </w:tcBorders>
            <w:shd w:val="clear" w:color="auto" w:fill="E4E4E4"/>
          </w:tcPr>
          <w:p>
            <w:pPr>
              <w:spacing w:after="0"/>
              <w:rPr>
                <w:sz w:val="21"/>
                <w:szCs w:val="21"/>
                <w:color w:val="auto"/>
              </w:rPr>
            </w:pP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83</w:t>
            </w:r>
          </w:p>
        </w:tc>
        <w:tc>
          <w:tcPr>
            <w:tcW w:w="920" w:type="dxa"/>
            <w:vAlign w:val="bottom"/>
            <w:tcBorders>
              <w:bottom w:val="single" w:sz="8" w:color="E4E4E4"/>
            </w:tcBorders>
            <w:shd w:val="clear" w:color="auto" w:fill="E4E4E4"/>
          </w:tcPr>
          <w:p>
            <w:pPr>
              <w:spacing w:after="0"/>
              <w:rPr>
                <w:sz w:val="21"/>
                <w:szCs w:val="21"/>
                <w:color w:val="auto"/>
              </w:rPr>
            </w:pPr>
          </w:p>
        </w:tc>
        <w:tc>
          <w:tcPr>
            <w:tcW w:w="580" w:type="dxa"/>
            <w:vAlign w:val="bottom"/>
            <w:tcBorders>
              <w:bottom w:val="single" w:sz="8" w:color="E4E4E4"/>
            </w:tcBorders>
            <w:shd w:val="clear" w:color="auto" w:fill="E4E4E4"/>
          </w:tcPr>
          <w:p>
            <w:pPr>
              <w:jc w:val="center"/>
              <w:ind w:left="259"/>
              <w:spacing w:after="0"/>
              <w:rPr>
                <w:sz w:val="20"/>
                <w:szCs w:val="20"/>
                <w:color w:val="auto"/>
              </w:rPr>
            </w:pPr>
            <w:r>
              <w:rPr>
                <w:rFonts w:ascii="Arial" w:cs="Arial" w:eastAsia="Arial" w:hAnsi="Arial"/>
                <w:sz w:val="16"/>
                <w:szCs w:val="16"/>
                <w:b w:val="1"/>
                <w:bCs w:val="1"/>
                <w:color w:val="auto"/>
              </w:rPr>
              <w:t>4.6</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E4E4E4"/>
            </w:tcBorders>
            <w:shd w:val="clear" w:color="auto" w:fill="E4E4E4"/>
          </w:tcPr>
          <w:p>
            <w:pPr>
              <w:spacing w:after="0"/>
              <w:rPr>
                <w:sz w:val="21"/>
                <w:szCs w:val="21"/>
                <w:color w:val="auto"/>
              </w:rPr>
            </w:pPr>
          </w:p>
        </w:tc>
        <w:tc>
          <w:tcPr>
            <w:tcW w:w="9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w:t>
            </w:r>
          </w:p>
        </w:tc>
      </w:tr>
      <w:tr>
        <w:trPr>
          <w:trHeight w:val="229"/>
        </w:trPr>
        <w:tc>
          <w:tcPr>
            <w:tcW w:w="2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Expected to vest</w:t>
            </w:r>
          </w:p>
        </w:tc>
        <w:tc>
          <w:tcPr>
            <w:tcW w:w="10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3,634</w:t>
            </w:r>
          </w:p>
        </w:tc>
        <w:tc>
          <w:tcPr>
            <w:tcW w:w="1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82</w:t>
            </w:r>
          </w:p>
        </w:tc>
        <w:tc>
          <w:tcPr>
            <w:tcW w:w="9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center"/>
              <w:ind w:left="259"/>
              <w:spacing w:after="0"/>
              <w:rPr>
                <w:sz w:val="20"/>
                <w:szCs w:val="20"/>
                <w:color w:val="auto"/>
              </w:rPr>
            </w:pPr>
            <w:r>
              <w:rPr>
                <w:rFonts w:ascii="Arial" w:cs="Arial" w:eastAsia="Arial" w:hAnsi="Arial"/>
                <w:sz w:val="16"/>
                <w:szCs w:val="16"/>
                <w:b w:val="1"/>
                <w:bCs w:val="1"/>
                <w:color w:val="auto"/>
              </w:rPr>
              <w:t>5.9</w:t>
            </w:r>
          </w:p>
        </w:tc>
        <w:tc>
          <w:tcPr>
            <w:tcW w:w="42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28</w:t>
            </w: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93"/>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RSU and PSU Activity</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7"/>
        </w:trPr>
        <w:tc>
          <w:tcPr>
            <w:tcW w:w="27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60" w:type="dxa"/>
            <w:vAlign w:val="bottom"/>
            <w:gridSpan w:val="2"/>
          </w:tcPr>
          <w:p>
            <w:pPr>
              <w:jc w:val="right"/>
              <w:ind w:right="739"/>
              <w:spacing w:after="0"/>
              <w:rPr>
                <w:sz w:val="20"/>
                <w:szCs w:val="20"/>
                <w:color w:val="auto"/>
              </w:rPr>
            </w:pPr>
            <w:r>
              <w:rPr>
                <w:rFonts w:ascii="Arial" w:cs="Arial" w:eastAsia="Arial" w:hAnsi="Arial"/>
                <w:sz w:val="16"/>
                <w:szCs w:val="16"/>
                <w:b w:val="1"/>
                <w:bCs w:val="1"/>
                <w:color w:val="454545"/>
              </w:rPr>
              <w:t>RSUs</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640"/>
              <w:spacing w:after="0"/>
              <w:rPr>
                <w:sz w:val="20"/>
                <w:szCs w:val="20"/>
                <w:color w:val="auto"/>
              </w:rPr>
            </w:pPr>
            <w:r>
              <w:rPr>
                <w:rFonts w:ascii="Arial" w:cs="Arial" w:eastAsia="Arial" w:hAnsi="Arial"/>
                <w:sz w:val="16"/>
                <w:szCs w:val="16"/>
                <w:b w:val="1"/>
                <w:bCs w:val="1"/>
                <w:color w:val="454545"/>
              </w:rPr>
              <w:t>PSUs</w:t>
            </w: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
        </w:trPr>
        <w:tc>
          <w:tcPr>
            <w:tcW w:w="2720" w:type="dxa"/>
            <w:vAlign w:val="bottom"/>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12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980" w:type="dxa"/>
            <w:vAlign w:val="bottom"/>
            <w:tcBorders>
              <w:bottom w:val="single" w:sz="8" w:color="454545"/>
            </w:tcBorders>
          </w:tcPr>
          <w:p>
            <w:pPr>
              <w:spacing w:after="0" w:line="20" w:lineRule="exact"/>
              <w:rPr>
                <w:sz w:val="1"/>
                <w:szCs w:val="1"/>
                <w:color w:val="auto"/>
              </w:rPr>
            </w:pPr>
          </w:p>
        </w:tc>
        <w:tc>
          <w:tcPr>
            <w:tcW w:w="160" w:type="dxa"/>
            <w:vAlign w:val="bottom"/>
            <w:tcBorders>
              <w:bottom w:val="single" w:sz="8" w:color="454545"/>
            </w:tcBorders>
          </w:tcPr>
          <w:p>
            <w:pPr>
              <w:spacing w:after="0" w:line="20" w:lineRule="exact"/>
              <w:rPr>
                <w:sz w:val="1"/>
                <w:szCs w:val="1"/>
                <w:color w:val="auto"/>
              </w:rPr>
            </w:pPr>
          </w:p>
        </w:tc>
        <w:tc>
          <w:tcPr>
            <w:tcW w:w="840" w:type="dxa"/>
            <w:vAlign w:val="bottom"/>
            <w:tcBorders>
              <w:bottom w:val="single" w:sz="8" w:color="454545"/>
            </w:tcBorders>
          </w:tcPr>
          <w:p>
            <w:pPr>
              <w:spacing w:after="0" w:line="20" w:lineRule="exact"/>
              <w:rPr>
                <w:sz w:val="1"/>
                <w:szCs w:val="1"/>
                <w:color w:val="auto"/>
              </w:rPr>
            </w:pPr>
          </w:p>
        </w:tc>
        <w:tc>
          <w:tcPr>
            <w:tcW w:w="60" w:type="dxa"/>
            <w:vAlign w:val="bottom"/>
            <w:tcBorders>
              <w:bottom w:val="single" w:sz="8" w:color="454545"/>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1140" w:type="dxa"/>
            <w:vAlign w:val="bottom"/>
            <w:tcBorders>
              <w:bottom w:val="single" w:sz="8" w:color="454545"/>
            </w:tcBorders>
            <w:gridSpan w:val="2"/>
          </w:tcPr>
          <w:p>
            <w:pPr>
              <w:spacing w:after="0" w:line="20" w:lineRule="exact"/>
              <w:rPr>
                <w:sz w:val="1"/>
                <w:szCs w:val="1"/>
                <w:color w:val="auto"/>
              </w:rPr>
            </w:pPr>
          </w:p>
        </w:tc>
        <w:tc>
          <w:tcPr>
            <w:tcW w:w="1000" w:type="dxa"/>
            <w:vAlign w:val="bottom"/>
            <w:tcBorders>
              <w:bottom w:val="single" w:sz="8" w:color="454545"/>
            </w:tcBorders>
            <w:gridSpan w:val="2"/>
          </w:tcPr>
          <w:p>
            <w:pPr>
              <w:spacing w:after="0" w:line="20" w:lineRule="exact"/>
              <w:rPr>
                <w:sz w:val="1"/>
                <w:szCs w:val="1"/>
                <w:color w:val="auto"/>
              </w:rPr>
            </w:pPr>
          </w:p>
        </w:tc>
        <w:tc>
          <w:tcPr>
            <w:tcW w:w="1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r>
      <w:tr>
        <w:trPr>
          <w:trHeight w:val="209"/>
        </w:trPr>
        <w:tc>
          <w:tcPr>
            <w:tcW w:w="2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w w:val="99"/>
              </w:rPr>
              <w:t>Weighted</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Weighted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Weighted</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Weighted</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3"/>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w w:val="99"/>
              </w:rPr>
              <w:t>average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average</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79"/>
              <w:spacing w:after="0"/>
              <w:rPr>
                <w:sz w:val="20"/>
                <w:szCs w:val="20"/>
                <w:color w:val="auto"/>
              </w:rPr>
            </w:pPr>
            <w:r>
              <w:rPr>
                <w:rFonts w:ascii="Arial" w:cs="Arial" w:eastAsia="Arial" w:hAnsi="Arial"/>
                <w:sz w:val="16"/>
                <w:szCs w:val="16"/>
                <w:b w:val="1"/>
                <w:bCs w:val="1"/>
                <w:color w:val="454545"/>
              </w:rPr>
              <w:t>average</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average</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rPr>
              <w:t>grant date</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vesting</w:t>
            </w:r>
          </w:p>
        </w:tc>
        <w:tc>
          <w:tcPr>
            <w:tcW w:w="160" w:type="dxa"/>
            <w:vAlign w:val="bottom"/>
          </w:tcPr>
          <w:p>
            <w:pPr>
              <w:spacing w:after="0"/>
              <w:rPr>
                <w:sz w:val="17"/>
                <w:szCs w:val="17"/>
                <w:color w:val="auto"/>
              </w:rPr>
            </w:pPr>
          </w:p>
        </w:tc>
        <w:tc>
          <w:tcPr>
            <w:tcW w:w="840" w:type="dxa"/>
            <w:vAlign w:val="bottom"/>
          </w:tcPr>
          <w:p>
            <w:pPr>
              <w:jc w:val="right"/>
              <w:ind w:right="79"/>
              <w:spacing w:after="0"/>
              <w:rPr>
                <w:sz w:val="20"/>
                <w:szCs w:val="20"/>
                <w:color w:val="auto"/>
              </w:rPr>
            </w:pPr>
            <w:r>
              <w:rPr>
                <w:rFonts w:ascii="Arial" w:cs="Arial" w:eastAsia="Arial" w:hAnsi="Arial"/>
                <w:sz w:val="16"/>
                <w:szCs w:val="16"/>
                <w:b w:val="1"/>
                <w:bCs w:val="1"/>
                <w:color w:val="454545"/>
              </w:rPr>
              <w:t>Intrinsic</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grant date</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vesting</w:t>
            </w:r>
          </w:p>
        </w:tc>
        <w:tc>
          <w:tcPr>
            <w:tcW w:w="140" w:type="dxa"/>
            <w:vAlign w:val="bottom"/>
          </w:tcPr>
          <w:p>
            <w:pPr>
              <w:spacing w:after="0"/>
              <w:rPr>
                <w:sz w:val="17"/>
                <w:szCs w:val="17"/>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b w:val="1"/>
                <w:bCs w:val="1"/>
                <w:color w:val="454545"/>
              </w:rPr>
              <w:t>Intrinsic</w:t>
            </w:r>
          </w:p>
        </w:tc>
      </w:tr>
      <w:tr>
        <w:trPr>
          <w:trHeight w:val="203"/>
        </w:trPr>
        <w:tc>
          <w:tcPr>
            <w:tcW w:w="27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454545"/>
              </w:rPr>
              <w:t>Shares (in</w:t>
            </w:r>
          </w:p>
        </w:tc>
        <w:tc>
          <w:tcPr>
            <w:tcW w:w="11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fair value (in</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period (in</w:t>
            </w:r>
          </w:p>
        </w:tc>
        <w:tc>
          <w:tcPr>
            <w:tcW w:w="160" w:type="dxa"/>
            <w:vAlign w:val="bottom"/>
          </w:tcPr>
          <w:p>
            <w:pPr>
              <w:spacing w:after="0"/>
              <w:rPr>
                <w:sz w:val="17"/>
                <w:szCs w:val="17"/>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454545"/>
              </w:rPr>
              <w:t>value (in</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b w:val="1"/>
                <w:bCs w:val="1"/>
                <w:color w:val="454545"/>
              </w:rPr>
              <w:t>Shares (in</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454545"/>
                <w:w w:val="99"/>
              </w:rPr>
              <w:t>fair value (in</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period (in</w:t>
            </w:r>
          </w:p>
        </w:tc>
        <w:tc>
          <w:tcPr>
            <w:tcW w:w="140" w:type="dxa"/>
            <w:vAlign w:val="bottom"/>
          </w:tcPr>
          <w:p>
            <w:pPr>
              <w:spacing w:after="0"/>
              <w:rPr>
                <w:sz w:val="17"/>
                <w:szCs w:val="17"/>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454545"/>
              </w:rPr>
              <w:t>value (in</w:t>
            </w:r>
          </w:p>
        </w:tc>
      </w:tr>
      <w:tr>
        <w:trPr>
          <w:trHeight w:val="223"/>
        </w:trPr>
        <w:tc>
          <w:tcPr>
            <w:tcW w:w="27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454545"/>
              </w:rPr>
              <w:t>thousands)</w:t>
            </w:r>
          </w:p>
        </w:tc>
        <w:tc>
          <w:tcPr>
            <w:tcW w:w="120" w:type="dxa"/>
            <w:vAlign w:val="bottom"/>
          </w:tcPr>
          <w:p>
            <w:pPr>
              <w:spacing w:after="0"/>
              <w:rPr>
                <w:sz w:val="19"/>
                <w:szCs w:val="19"/>
                <w:color w:val="auto"/>
              </w:rPr>
            </w:pPr>
          </w:p>
        </w:tc>
        <w:tc>
          <w:tcPr>
            <w:tcW w:w="980" w:type="dxa"/>
            <w:vAlign w:val="bottom"/>
          </w:tcPr>
          <w:p>
            <w:pPr>
              <w:jc w:val="center"/>
              <w:ind w:right="99"/>
              <w:spacing w:after="0"/>
              <w:rPr>
                <w:sz w:val="20"/>
                <w:szCs w:val="20"/>
                <w:color w:val="auto"/>
              </w:rPr>
            </w:pPr>
            <w:r>
              <w:rPr>
                <w:rFonts w:ascii="Arial" w:cs="Arial" w:eastAsia="Arial" w:hAnsi="Arial"/>
                <w:sz w:val="16"/>
                <w:szCs w:val="16"/>
                <w:b w:val="1"/>
                <w:bCs w:val="1"/>
                <w:color w:val="454545"/>
              </w:rPr>
              <w:t>dollars)</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454545"/>
              </w:rPr>
              <w:t>years)</w:t>
            </w:r>
          </w:p>
        </w:tc>
        <w:tc>
          <w:tcPr>
            <w:tcW w:w="16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b w:val="1"/>
                <w:bCs w:val="1"/>
                <w:color w:val="454545"/>
              </w:rPr>
              <w:t>millions)</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454545"/>
              </w:rPr>
              <w:t>thousands)</w:t>
            </w:r>
          </w:p>
        </w:tc>
        <w:tc>
          <w:tcPr>
            <w:tcW w:w="220" w:type="dxa"/>
            <w:vAlign w:val="bottom"/>
          </w:tcPr>
          <w:p>
            <w:pPr>
              <w:spacing w:after="0"/>
              <w:rPr>
                <w:sz w:val="19"/>
                <w:szCs w:val="19"/>
                <w:color w:val="auto"/>
              </w:rPr>
            </w:pPr>
          </w:p>
        </w:tc>
        <w:tc>
          <w:tcPr>
            <w:tcW w:w="920" w:type="dxa"/>
            <w:vAlign w:val="bottom"/>
          </w:tcPr>
          <w:p>
            <w:pPr>
              <w:jc w:val="center"/>
              <w:ind w:right="179"/>
              <w:spacing w:after="0"/>
              <w:rPr>
                <w:sz w:val="20"/>
                <w:szCs w:val="20"/>
                <w:color w:val="auto"/>
              </w:rPr>
            </w:pPr>
            <w:r>
              <w:rPr>
                <w:rFonts w:ascii="Arial" w:cs="Arial" w:eastAsia="Arial" w:hAnsi="Arial"/>
                <w:sz w:val="16"/>
                <w:szCs w:val="16"/>
                <w:b w:val="1"/>
                <w:bCs w:val="1"/>
                <w:color w:val="454545"/>
              </w:rPr>
              <w:t>dollars)</w:t>
            </w:r>
          </w:p>
        </w:tc>
        <w:tc>
          <w:tcPr>
            <w:tcW w:w="1000" w:type="dxa"/>
            <w:vAlign w:val="bottom"/>
            <w:gridSpan w:val="2"/>
          </w:tcPr>
          <w:p>
            <w:pPr>
              <w:jc w:val="center"/>
              <w:spacing w:after="0"/>
              <w:rPr>
                <w:sz w:val="20"/>
                <w:szCs w:val="20"/>
                <w:color w:val="auto"/>
              </w:rPr>
            </w:pPr>
            <w:r>
              <w:rPr>
                <w:rFonts w:ascii="Arial" w:cs="Arial" w:eastAsia="Arial" w:hAnsi="Arial"/>
                <w:sz w:val="16"/>
                <w:szCs w:val="16"/>
                <w:b w:val="1"/>
                <w:bCs w:val="1"/>
                <w:color w:val="454545"/>
              </w:rPr>
              <w:t>years)</w:t>
            </w:r>
          </w:p>
        </w:tc>
        <w:tc>
          <w:tcPr>
            <w:tcW w:w="140" w:type="dxa"/>
            <w:vAlign w:val="bottom"/>
          </w:tcPr>
          <w:p>
            <w:pPr>
              <w:spacing w:after="0"/>
              <w:rPr>
                <w:sz w:val="19"/>
                <w:szCs w:val="19"/>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454545"/>
              </w:rPr>
              <w:t>millions)</w:t>
            </w:r>
          </w:p>
        </w:tc>
      </w:tr>
      <w:tr>
        <w:trPr>
          <w:trHeight w:val="21"/>
        </w:trPr>
        <w:tc>
          <w:tcPr>
            <w:tcW w:w="27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12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980" w:type="dxa"/>
            <w:vAlign w:val="bottom"/>
            <w:tcBorders>
              <w:bottom w:val="single" w:sz="8" w:color="6022A6"/>
            </w:tcBorders>
          </w:tcPr>
          <w:p>
            <w:pPr>
              <w:spacing w:after="0" w:line="20" w:lineRule="exact"/>
              <w:rPr>
                <w:sz w:val="1"/>
                <w:szCs w:val="1"/>
                <w:color w:val="auto"/>
              </w:rPr>
            </w:pPr>
          </w:p>
        </w:tc>
        <w:tc>
          <w:tcPr>
            <w:tcW w:w="160" w:type="dxa"/>
            <w:vAlign w:val="bottom"/>
            <w:tcBorders>
              <w:bottom w:val="single" w:sz="8" w:color="6022A6"/>
            </w:tcBorders>
          </w:tcPr>
          <w:p>
            <w:pPr>
              <w:spacing w:after="0" w:line="20" w:lineRule="exact"/>
              <w:rPr>
                <w:sz w:val="1"/>
                <w:szCs w:val="1"/>
                <w:color w:val="auto"/>
              </w:rPr>
            </w:pPr>
          </w:p>
        </w:tc>
        <w:tc>
          <w:tcPr>
            <w:tcW w:w="840" w:type="dxa"/>
            <w:vAlign w:val="bottom"/>
            <w:tcBorders>
              <w:bottom w:val="single" w:sz="8" w:color="6022A6"/>
            </w:tcBorders>
          </w:tcPr>
          <w:p>
            <w:pPr>
              <w:spacing w:after="0" w:line="20" w:lineRule="exact"/>
              <w:rPr>
                <w:sz w:val="1"/>
                <w:szCs w:val="1"/>
                <w:color w:val="auto"/>
              </w:rPr>
            </w:pPr>
          </w:p>
        </w:tc>
        <w:tc>
          <w:tcPr>
            <w:tcW w:w="60" w:type="dxa"/>
            <w:vAlign w:val="bottom"/>
            <w:tcBorders>
              <w:bottom w:val="single" w:sz="8" w:color="6022A6"/>
            </w:tcBorders>
          </w:tcPr>
          <w:p>
            <w:pPr>
              <w:spacing w:after="0" w:line="20" w:lineRule="exact"/>
              <w:rPr>
                <w:sz w:val="1"/>
                <w:szCs w:val="1"/>
                <w:color w:val="auto"/>
              </w:rPr>
            </w:pPr>
          </w:p>
        </w:tc>
        <w:tc>
          <w:tcPr>
            <w:tcW w:w="80" w:type="dxa"/>
            <w:vAlign w:val="bottom"/>
            <w:tcBorders>
              <w:bottom w:val="single" w:sz="8" w:color="6022A6"/>
            </w:tcBorders>
          </w:tcPr>
          <w:p>
            <w:pPr>
              <w:spacing w:after="0" w:line="20" w:lineRule="exact"/>
              <w:rPr>
                <w:sz w:val="1"/>
                <w:szCs w:val="1"/>
                <w:color w:val="auto"/>
              </w:rPr>
            </w:pPr>
          </w:p>
        </w:tc>
        <w:tc>
          <w:tcPr>
            <w:tcW w:w="1040" w:type="dxa"/>
            <w:vAlign w:val="bottom"/>
            <w:tcBorders>
              <w:bottom w:val="single" w:sz="8" w:color="6022A6"/>
            </w:tcBorders>
          </w:tcPr>
          <w:p>
            <w:pPr>
              <w:spacing w:after="0" w:line="20" w:lineRule="exact"/>
              <w:rPr>
                <w:sz w:val="1"/>
                <w:szCs w:val="1"/>
                <w:color w:val="auto"/>
              </w:rPr>
            </w:pPr>
          </w:p>
        </w:tc>
        <w:tc>
          <w:tcPr>
            <w:tcW w:w="22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c>
          <w:tcPr>
            <w:tcW w:w="58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40" w:type="dxa"/>
            <w:vAlign w:val="bottom"/>
            <w:tcBorders>
              <w:bottom w:val="single" w:sz="8" w:color="6022A6"/>
            </w:tcBorders>
          </w:tcPr>
          <w:p>
            <w:pPr>
              <w:spacing w:after="0" w:line="20" w:lineRule="exact"/>
              <w:rPr>
                <w:sz w:val="1"/>
                <w:szCs w:val="1"/>
                <w:color w:val="auto"/>
              </w:rPr>
            </w:pPr>
          </w:p>
        </w:tc>
        <w:tc>
          <w:tcPr>
            <w:tcW w:w="920" w:type="dxa"/>
            <w:vAlign w:val="bottom"/>
            <w:tcBorders>
              <w:bottom w:val="single" w:sz="8" w:color="6022A6"/>
            </w:tcBorders>
          </w:tcPr>
          <w:p>
            <w:pPr>
              <w:spacing w:after="0" w:line="20" w:lineRule="exact"/>
              <w:rPr>
                <w:sz w:val="1"/>
                <w:szCs w:val="1"/>
                <w:color w:val="auto"/>
              </w:rPr>
            </w:pPr>
          </w:p>
        </w:tc>
      </w:tr>
      <w:tr>
        <w:trPr>
          <w:trHeight w:val="230"/>
        </w:trPr>
        <w:tc>
          <w:tcPr>
            <w:tcW w:w="27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Outstanding as of January 1, 2025</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2,860</w:t>
            </w:r>
          </w:p>
        </w:tc>
        <w:tc>
          <w:tcPr>
            <w:tcW w:w="1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78</w:t>
            </w:r>
          </w:p>
        </w:tc>
        <w:tc>
          <w:tcPr>
            <w:tcW w:w="9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gridSpan w:val="3"/>
            <w:shd w:val="clear" w:color="auto" w:fill="E4E4E4"/>
          </w:tcPr>
          <w:p>
            <w:pPr>
              <w:jc w:val="right"/>
              <w:spacing w:after="0"/>
              <w:rPr>
                <w:sz w:val="20"/>
                <w:szCs w:val="20"/>
                <w:color w:val="auto"/>
              </w:rPr>
            </w:pPr>
            <w:r>
              <w:rPr>
                <w:rFonts w:ascii="Arial" w:cs="Arial" w:eastAsia="Arial" w:hAnsi="Arial"/>
                <w:sz w:val="16"/>
                <w:szCs w:val="16"/>
                <w:color w:val="auto"/>
              </w:rPr>
              <w:t>778</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91</w:t>
            </w:r>
          </w:p>
        </w:tc>
        <w:tc>
          <w:tcPr>
            <w:tcW w:w="58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r>
      <w:tr>
        <w:trPr>
          <w:trHeight w:val="228"/>
        </w:trPr>
        <w:tc>
          <w:tcPr>
            <w:tcW w:w="2720" w:type="dxa"/>
            <w:vAlign w:val="bottom"/>
          </w:tcPr>
          <w:p>
            <w:pPr>
              <w:ind w:left="140"/>
              <w:spacing w:after="0"/>
              <w:rPr>
                <w:sz w:val="20"/>
                <w:szCs w:val="20"/>
                <w:color w:val="auto"/>
              </w:rPr>
            </w:pPr>
            <w:r>
              <w:rPr>
                <w:rFonts w:ascii="Arial" w:cs="Arial" w:eastAsia="Arial" w:hAnsi="Arial"/>
                <w:sz w:val="16"/>
                <w:szCs w:val="16"/>
                <w:color w:val="auto"/>
              </w:rPr>
              <w:t>Granted</w:t>
            </w:r>
          </w:p>
        </w:tc>
        <w:tc>
          <w:tcPr>
            <w:tcW w:w="1060" w:type="dxa"/>
            <w:vAlign w:val="bottom"/>
          </w:tcPr>
          <w:p>
            <w:pPr>
              <w:jc w:val="right"/>
              <w:spacing w:after="0"/>
              <w:rPr>
                <w:sz w:val="20"/>
                <w:szCs w:val="20"/>
                <w:color w:val="auto"/>
              </w:rPr>
            </w:pPr>
            <w:r>
              <w:rPr>
                <w:rFonts w:ascii="Arial" w:cs="Arial" w:eastAsia="Arial" w:hAnsi="Arial"/>
                <w:sz w:val="16"/>
                <w:szCs w:val="16"/>
                <w:color w:val="auto"/>
              </w:rPr>
              <w:t>1,478</w:t>
            </w:r>
          </w:p>
        </w:tc>
        <w:tc>
          <w:tcPr>
            <w:tcW w:w="1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83</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492</w:t>
            </w:r>
          </w:p>
        </w:tc>
        <w:tc>
          <w:tcPr>
            <w:tcW w:w="22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85</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
        </w:trPr>
        <w:tc>
          <w:tcPr>
            <w:tcW w:w="2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7"/>
        </w:trPr>
        <w:tc>
          <w:tcPr>
            <w:tcW w:w="27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Exercised/Vested</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(1,484)</w:t>
            </w:r>
          </w:p>
        </w:tc>
        <w:tc>
          <w:tcPr>
            <w:tcW w:w="120" w:type="dxa"/>
            <w:vAlign w:val="bottom"/>
            <w:tcBorders>
              <w:bottom w:val="single" w:sz="8" w:color="E4E4E4"/>
            </w:tcBorders>
            <w:shd w:val="clear" w:color="auto" w:fill="E4E4E4"/>
          </w:tcPr>
          <w:p>
            <w:pPr>
              <w:spacing w:after="0"/>
              <w:rPr>
                <w:sz w:val="20"/>
                <w:szCs w:val="20"/>
                <w:color w:val="auto"/>
              </w:rPr>
            </w:pPr>
          </w:p>
        </w:tc>
        <w:tc>
          <w:tcPr>
            <w:tcW w:w="9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75</w:t>
            </w:r>
          </w:p>
        </w:tc>
        <w:tc>
          <w:tcPr>
            <w:tcW w:w="980" w:type="dxa"/>
            <w:vAlign w:val="bottom"/>
            <w:tcBorders>
              <w:bottom w:val="single" w:sz="8" w:color="E4E4E4"/>
            </w:tcBorders>
            <w:shd w:val="clear" w:color="auto" w:fill="E4E4E4"/>
          </w:tcPr>
          <w:p>
            <w:pPr>
              <w:spacing w:after="0"/>
              <w:rPr>
                <w:sz w:val="20"/>
                <w:szCs w:val="20"/>
                <w:color w:val="auto"/>
              </w:rPr>
            </w:pPr>
          </w:p>
        </w:tc>
        <w:tc>
          <w:tcPr>
            <w:tcW w:w="160" w:type="dxa"/>
            <w:vAlign w:val="bottom"/>
            <w:tcBorders>
              <w:bottom w:val="single" w:sz="8" w:color="E4E4E4"/>
            </w:tcBorders>
            <w:shd w:val="clear" w:color="auto" w:fill="E4E4E4"/>
          </w:tcPr>
          <w:p>
            <w:pPr>
              <w:spacing w:after="0"/>
              <w:rPr>
                <w:sz w:val="20"/>
                <w:szCs w:val="20"/>
                <w:color w:val="auto"/>
              </w:rPr>
            </w:pPr>
          </w:p>
        </w:tc>
        <w:tc>
          <w:tcPr>
            <w:tcW w:w="840" w:type="dxa"/>
            <w:vAlign w:val="bottom"/>
            <w:tcBorders>
              <w:bottom w:val="single" w:sz="8" w:color="E4E4E4"/>
            </w:tcBorders>
            <w:shd w:val="clear" w:color="auto" w:fill="E4E4E4"/>
          </w:tcPr>
          <w:p>
            <w:pPr>
              <w:spacing w:after="0"/>
              <w:rPr>
                <w:sz w:val="20"/>
                <w:szCs w:val="20"/>
                <w:color w:val="auto"/>
              </w:rPr>
            </w:pPr>
          </w:p>
        </w:tc>
        <w:tc>
          <w:tcPr>
            <w:tcW w:w="1180" w:type="dxa"/>
            <w:vAlign w:val="bottom"/>
            <w:tcBorders>
              <w:bottom w:val="single" w:sz="8" w:color="E4E4E4"/>
            </w:tcBorders>
            <w:gridSpan w:val="3"/>
            <w:shd w:val="clear" w:color="auto" w:fill="E4E4E4"/>
          </w:tcPr>
          <w:p>
            <w:pPr>
              <w:jc w:val="right"/>
              <w:spacing w:after="0"/>
              <w:rPr>
                <w:sz w:val="20"/>
                <w:szCs w:val="20"/>
                <w:color w:val="auto"/>
              </w:rPr>
            </w:pPr>
            <w:r>
              <w:rPr>
                <w:rFonts w:ascii="Arial" w:cs="Arial" w:eastAsia="Arial" w:hAnsi="Arial"/>
                <w:sz w:val="16"/>
                <w:szCs w:val="16"/>
                <w:color w:val="auto"/>
              </w:rPr>
              <w:t>(72)</w:t>
            </w:r>
          </w:p>
        </w:tc>
        <w:tc>
          <w:tcPr>
            <w:tcW w:w="22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70</w:t>
            </w:r>
          </w:p>
        </w:tc>
        <w:tc>
          <w:tcPr>
            <w:tcW w:w="580" w:type="dxa"/>
            <w:vAlign w:val="bottom"/>
            <w:tcBorders>
              <w:bottom w:val="single" w:sz="8" w:color="E4E4E4"/>
            </w:tcBorders>
            <w:shd w:val="clear" w:color="auto" w:fill="E4E4E4"/>
          </w:tcPr>
          <w:p>
            <w:pPr>
              <w:spacing w:after="0"/>
              <w:rPr>
                <w:sz w:val="20"/>
                <w:szCs w:val="20"/>
                <w:color w:val="auto"/>
              </w:rPr>
            </w:pPr>
          </w:p>
        </w:tc>
        <w:tc>
          <w:tcPr>
            <w:tcW w:w="420" w:type="dxa"/>
            <w:vAlign w:val="bottom"/>
            <w:tcBorders>
              <w:bottom w:val="single" w:sz="8" w:color="E4E4E4"/>
            </w:tcBorders>
            <w:shd w:val="clear" w:color="auto" w:fill="E4E4E4"/>
          </w:tcPr>
          <w:p>
            <w:pPr>
              <w:spacing w:after="0"/>
              <w:rPr>
                <w:sz w:val="20"/>
                <w:szCs w:val="20"/>
                <w:color w:val="auto"/>
              </w:rPr>
            </w:pPr>
          </w:p>
        </w:tc>
        <w:tc>
          <w:tcPr>
            <w:tcW w:w="140" w:type="dxa"/>
            <w:vAlign w:val="bottom"/>
            <w:tcBorders>
              <w:bottom w:val="single" w:sz="8" w:color="E4E4E4"/>
            </w:tcBorders>
            <w:shd w:val="clear" w:color="auto" w:fill="E4E4E4"/>
          </w:tcPr>
          <w:p>
            <w:pPr>
              <w:spacing w:after="0"/>
              <w:rPr>
                <w:sz w:val="20"/>
                <w:szCs w:val="20"/>
                <w:color w:val="auto"/>
              </w:rPr>
            </w:pPr>
          </w:p>
        </w:tc>
        <w:tc>
          <w:tcPr>
            <w:tcW w:w="920" w:type="dxa"/>
            <w:vAlign w:val="bottom"/>
            <w:tcBorders>
              <w:bottom w:val="single" w:sz="8" w:color="E4E4E4"/>
            </w:tcBorders>
            <w:shd w:val="clear" w:color="auto" w:fill="E4E4E4"/>
          </w:tcPr>
          <w:p>
            <w:pPr>
              <w:spacing w:after="0"/>
              <w:rPr>
                <w:sz w:val="20"/>
                <w:szCs w:val="20"/>
                <w:color w:val="auto"/>
              </w:rPr>
            </w:pPr>
          </w:p>
        </w:tc>
      </w:tr>
      <w:tr>
        <w:trPr>
          <w:trHeight w:val="228"/>
        </w:trPr>
        <w:tc>
          <w:tcPr>
            <w:tcW w:w="2720" w:type="dxa"/>
            <w:vAlign w:val="bottom"/>
          </w:tcPr>
          <w:p>
            <w:pPr>
              <w:ind w:left="140"/>
              <w:spacing w:after="0"/>
              <w:rPr>
                <w:sz w:val="20"/>
                <w:szCs w:val="20"/>
                <w:color w:val="auto"/>
              </w:rPr>
            </w:pPr>
            <w:r>
              <w:rPr>
                <w:rFonts w:ascii="Arial" w:cs="Arial" w:eastAsia="Arial" w:hAnsi="Arial"/>
                <w:sz w:val="16"/>
                <w:szCs w:val="16"/>
                <w:color w:val="auto"/>
              </w:rPr>
              <w:t>Forfeited</w:t>
            </w:r>
          </w:p>
        </w:tc>
        <w:tc>
          <w:tcPr>
            <w:tcW w:w="1060" w:type="dxa"/>
            <w:vAlign w:val="bottom"/>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81</w:t>
            </w: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(122)</w:t>
            </w:r>
          </w:p>
        </w:tc>
        <w:tc>
          <w:tcPr>
            <w:tcW w:w="220" w:type="dxa"/>
            <w:vAlign w:val="bottom"/>
          </w:tcPr>
          <w:p>
            <w:pPr>
              <w:spacing w:after="0"/>
              <w:rPr>
                <w:sz w:val="19"/>
                <w:szCs w:val="19"/>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89</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9"/>
        </w:trPr>
        <w:tc>
          <w:tcPr>
            <w:tcW w:w="2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2"/>
        </w:trPr>
        <w:tc>
          <w:tcPr>
            <w:tcW w:w="2720" w:type="dxa"/>
            <w:vAlign w:val="bottom"/>
            <w:tcBorders>
              <w:bottom w:val="single" w:sz="8" w:color="E4E4E4"/>
            </w:tcBorders>
            <w:shd w:val="clear" w:color="auto" w:fill="E4E4E4"/>
          </w:tcPr>
          <w:p>
            <w:pPr>
              <w:ind w:left="140"/>
              <w:spacing w:after="0"/>
              <w:rPr>
                <w:sz w:val="20"/>
                <w:szCs w:val="20"/>
                <w:color w:val="auto"/>
              </w:rPr>
            </w:pPr>
            <w:r>
              <w:rPr>
                <w:rFonts w:ascii="Arial" w:cs="Arial" w:eastAsia="Arial" w:hAnsi="Arial"/>
                <w:sz w:val="16"/>
                <w:szCs w:val="16"/>
                <w:color w:val="auto"/>
              </w:rPr>
              <w:t>Expired</w:t>
            </w: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E4E4E4"/>
            </w:tcBorders>
            <w:shd w:val="clear" w:color="auto" w:fill="E4E4E4"/>
          </w:tcPr>
          <w:p>
            <w:pPr>
              <w:spacing w:after="0"/>
              <w:rPr>
                <w:sz w:val="22"/>
                <w:szCs w:val="22"/>
                <w:color w:val="auto"/>
              </w:rPr>
            </w:pPr>
          </w:p>
        </w:tc>
        <w:tc>
          <w:tcPr>
            <w:tcW w:w="980" w:type="dxa"/>
            <w:vAlign w:val="bottom"/>
            <w:tcBorders>
              <w:bottom w:val="single" w:sz="8" w:color="E4E4E4"/>
            </w:tcBorders>
            <w:shd w:val="clear" w:color="auto" w:fill="E4E4E4"/>
          </w:tcPr>
          <w:p>
            <w:pPr>
              <w:jc w:val="right"/>
              <w:ind w:right="3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E4E4E4"/>
            </w:tcBorders>
            <w:shd w:val="clear" w:color="auto" w:fill="E4E4E4"/>
          </w:tcPr>
          <w:p>
            <w:pPr>
              <w:spacing w:after="0"/>
              <w:rPr>
                <w:sz w:val="22"/>
                <w:szCs w:val="22"/>
                <w:color w:val="auto"/>
              </w:rPr>
            </w:pPr>
          </w:p>
        </w:tc>
        <w:tc>
          <w:tcPr>
            <w:tcW w:w="160" w:type="dxa"/>
            <w:vAlign w:val="bottom"/>
            <w:tcBorders>
              <w:bottom w:val="single" w:sz="8" w:color="E4E4E4"/>
            </w:tcBorders>
            <w:shd w:val="clear" w:color="auto" w:fill="E4E4E4"/>
          </w:tcPr>
          <w:p>
            <w:pPr>
              <w:spacing w:after="0"/>
              <w:rPr>
                <w:sz w:val="22"/>
                <w:szCs w:val="22"/>
                <w:color w:val="auto"/>
              </w:rPr>
            </w:pPr>
          </w:p>
        </w:tc>
        <w:tc>
          <w:tcPr>
            <w:tcW w:w="840" w:type="dxa"/>
            <w:vAlign w:val="bottom"/>
            <w:tcBorders>
              <w:bottom w:val="single" w:sz="8" w:color="E4E4E4"/>
            </w:tcBorders>
            <w:shd w:val="clear" w:color="auto" w:fill="E4E4E4"/>
          </w:tcPr>
          <w:p>
            <w:pPr>
              <w:spacing w:after="0"/>
              <w:rPr>
                <w:sz w:val="22"/>
                <w:szCs w:val="22"/>
                <w:color w:val="auto"/>
              </w:rPr>
            </w:pPr>
          </w:p>
        </w:tc>
        <w:tc>
          <w:tcPr>
            <w:tcW w:w="60" w:type="dxa"/>
            <w:vAlign w:val="bottom"/>
            <w:tcBorders>
              <w:bottom w:val="single" w:sz="8" w:color="E4E4E4"/>
            </w:tcBorders>
            <w:shd w:val="clear" w:color="auto" w:fill="E4E4E4"/>
          </w:tcPr>
          <w:p>
            <w:pPr>
              <w:spacing w:after="0"/>
              <w:rPr>
                <w:sz w:val="22"/>
                <w:szCs w:val="22"/>
                <w:color w:val="auto"/>
              </w:rPr>
            </w:pPr>
          </w:p>
        </w:tc>
        <w:tc>
          <w:tcPr>
            <w:tcW w:w="80" w:type="dxa"/>
            <w:vAlign w:val="bottom"/>
            <w:tcBorders>
              <w:bottom w:val="single" w:sz="8" w:color="E4E4E4"/>
            </w:tcBorders>
            <w:shd w:val="clear" w:color="auto" w:fill="E4E4E4"/>
          </w:tcPr>
          <w:p>
            <w:pPr>
              <w:spacing w:after="0"/>
              <w:rPr>
                <w:sz w:val="22"/>
                <w:szCs w:val="22"/>
                <w:color w:val="auto"/>
              </w:rPr>
            </w:pPr>
          </w:p>
        </w:tc>
        <w:tc>
          <w:tcPr>
            <w:tcW w:w="10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E4E4E4"/>
            </w:tcBorders>
            <w:shd w:val="clear" w:color="auto" w:fill="E4E4E4"/>
          </w:tcPr>
          <w:p>
            <w:pPr>
              <w:spacing w:after="0"/>
              <w:rPr>
                <w:sz w:val="22"/>
                <w:szCs w:val="22"/>
                <w:color w:val="auto"/>
              </w:rPr>
            </w:pPr>
          </w:p>
        </w:tc>
        <w:tc>
          <w:tcPr>
            <w:tcW w:w="420" w:type="dxa"/>
            <w:vAlign w:val="bottom"/>
            <w:tcBorders>
              <w:bottom w:val="single" w:sz="8" w:color="E4E4E4"/>
            </w:tcBorders>
            <w:shd w:val="clear" w:color="auto" w:fill="E4E4E4"/>
          </w:tcPr>
          <w:p>
            <w:pPr>
              <w:spacing w:after="0"/>
              <w:rPr>
                <w:sz w:val="22"/>
                <w:szCs w:val="22"/>
                <w:color w:val="auto"/>
              </w:rPr>
            </w:pPr>
          </w:p>
        </w:tc>
        <w:tc>
          <w:tcPr>
            <w:tcW w:w="140" w:type="dxa"/>
            <w:vAlign w:val="bottom"/>
            <w:tcBorders>
              <w:bottom w:val="single" w:sz="8" w:color="E4E4E4"/>
            </w:tcBorders>
            <w:shd w:val="clear" w:color="auto" w:fill="E4E4E4"/>
          </w:tcPr>
          <w:p>
            <w:pPr>
              <w:spacing w:after="0"/>
              <w:rPr>
                <w:sz w:val="22"/>
                <w:szCs w:val="22"/>
                <w:color w:val="auto"/>
              </w:rPr>
            </w:pPr>
          </w:p>
        </w:tc>
        <w:tc>
          <w:tcPr>
            <w:tcW w:w="920" w:type="dxa"/>
            <w:vAlign w:val="bottom"/>
            <w:tcBorders>
              <w:bottom w:val="single" w:sz="8" w:color="E4E4E4"/>
            </w:tcBorders>
            <w:shd w:val="clear" w:color="auto" w:fill="E4E4E4"/>
          </w:tcPr>
          <w:p>
            <w:pPr>
              <w:spacing w:after="0"/>
              <w:rPr>
                <w:sz w:val="22"/>
                <w:szCs w:val="22"/>
                <w:color w:val="auto"/>
              </w:rPr>
            </w:pPr>
          </w:p>
        </w:tc>
      </w:tr>
      <w:tr>
        <w:trPr>
          <w:trHeight w:val="209"/>
        </w:trPr>
        <w:tc>
          <w:tcPr>
            <w:tcW w:w="27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Outstanding as of December 31,</w:t>
            </w: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23"/>
        </w:trPr>
        <w:tc>
          <w:tcPr>
            <w:tcW w:w="2720" w:type="dxa"/>
            <w:vAlign w:val="bottom"/>
          </w:tcPr>
          <w:p>
            <w:pPr>
              <w:ind w:left="20"/>
              <w:spacing w:after="0"/>
              <w:rPr>
                <w:sz w:val="20"/>
                <w:szCs w:val="20"/>
                <w:color w:val="auto"/>
              </w:rPr>
            </w:pPr>
            <w:r>
              <w:rPr>
                <w:rFonts w:ascii="Arial" w:cs="Arial" w:eastAsia="Arial" w:hAnsi="Arial"/>
                <w:sz w:val="16"/>
                <w:szCs w:val="16"/>
                <w:b w:val="1"/>
                <w:bCs w:val="1"/>
                <w:color w:val="auto"/>
              </w:rPr>
              <w:t>2025</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2,542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39"/>
              <w:spacing w:after="0"/>
              <w:rPr>
                <w:sz w:val="20"/>
                <w:szCs w:val="20"/>
                <w:color w:val="auto"/>
              </w:rPr>
            </w:pPr>
            <w:r>
              <w:rPr>
                <w:rFonts w:ascii="Arial" w:cs="Arial" w:eastAsia="Arial" w:hAnsi="Arial"/>
                <w:sz w:val="16"/>
                <w:szCs w:val="16"/>
                <w:b w:val="1"/>
                <w:bCs w:val="1"/>
                <w:color w:val="auto"/>
              </w:rPr>
              <w:t>82</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208</w:t>
            </w:r>
          </w:p>
        </w:tc>
        <w:tc>
          <w:tcPr>
            <w:tcW w:w="1180" w:type="dxa"/>
            <w:vAlign w:val="bottom"/>
            <w:gridSpan w:val="3"/>
          </w:tcPr>
          <w:p>
            <w:pPr>
              <w:jc w:val="right"/>
              <w:spacing w:after="0"/>
              <w:rPr>
                <w:sz w:val="20"/>
                <w:szCs w:val="20"/>
                <w:color w:val="auto"/>
              </w:rPr>
            </w:pPr>
            <w:r>
              <w:rPr>
                <w:rFonts w:ascii="Arial" w:cs="Arial" w:eastAsia="Arial" w:hAnsi="Arial"/>
                <w:sz w:val="16"/>
                <w:szCs w:val="16"/>
                <w:b w:val="1"/>
                <w:bCs w:val="1"/>
                <w:color w:val="auto"/>
              </w:rPr>
              <w:t>1,076</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b w:val="1"/>
                <w:bCs w:val="1"/>
                <w:color w:val="auto"/>
              </w:rPr>
              <w:t>88</w:t>
            </w:r>
          </w:p>
        </w:tc>
        <w:tc>
          <w:tcPr>
            <w:tcW w:w="5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2.0</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88</w:t>
            </w:r>
          </w:p>
        </w:tc>
      </w:tr>
      <w:tr>
        <w:trPr>
          <w:trHeight w:val="21"/>
        </w:trPr>
        <w:tc>
          <w:tcPr>
            <w:tcW w:w="27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Share-based compensation expense is recognized within Cost of products, Cost of services, SG&amp;A, or R&amp;D, as appropriate, in the Consolidated Statements of Income.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20" w:type="dxa"/>
            <w:vAlign w:val="bottom"/>
          </w:tcPr>
          <w:p>
            <w:pPr>
              <w:ind w:left="20"/>
              <w:spacing w:after="0"/>
              <w:rPr>
                <w:sz w:val="20"/>
                <w:szCs w:val="20"/>
                <w:color w:val="auto"/>
              </w:rPr>
            </w:pPr>
            <w:r>
              <w:rPr>
                <w:rFonts w:ascii="Arial" w:cs="Arial" w:eastAsia="Arial" w:hAnsi="Arial"/>
                <w:sz w:val="16"/>
                <w:szCs w:val="16"/>
                <w:b w:val="1"/>
                <w:bCs w:val="1"/>
                <w:color w:val="auto"/>
              </w:rPr>
              <w:t>Share-based Compensation Expense</w:t>
            </w:r>
          </w:p>
        </w:tc>
        <w:tc>
          <w:tcPr>
            <w:tcW w:w="1240" w:type="dxa"/>
            <w:vAlign w:val="bottom"/>
          </w:tcPr>
          <w:p>
            <w:pPr>
              <w:spacing w:after="0"/>
              <w:rPr>
                <w:sz w:val="19"/>
                <w:szCs w:val="19"/>
                <w:color w:val="auto"/>
              </w:rPr>
            </w:pPr>
          </w:p>
        </w:tc>
        <w:tc>
          <w:tcPr>
            <w:tcW w:w="2920" w:type="dxa"/>
            <w:vAlign w:val="bottom"/>
            <w:gridSpan w:val="4"/>
          </w:tcPr>
          <w:p>
            <w:pPr>
              <w:jc w:val="center"/>
              <w:spacing w:after="0"/>
              <w:rPr>
                <w:sz w:val="20"/>
                <w:szCs w:val="20"/>
                <w:color w:val="auto"/>
              </w:rPr>
            </w:pPr>
            <w:r>
              <w:rPr>
                <w:rFonts w:ascii="Arial" w:cs="Arial" w:eastAsia="Arial" w:hAnsi="Arial"/>
                <w:sz w:val="16"/>
                <w:szCs w:val="16"/>
                <w:b w:val="1"/>
                <w:bCs w:val="1"/>
                <w:color w:val="454545"/>
              </w:rPr>
              <w:t>For the years ended December 31</w:t>
            </w:r>
          </w:p>
        </w:tc>
        <w:tc>
          <w:tcPr>
            <w:tcW w:w="1260" w:type="dxa"/>
            <w:vAlign w:val="bottom"/>
          </w:tcPr>
          <w:p>
            <w:pPr>
              <w:spacing w:after="0"/>
              <w:rPr>
                <w:sz w:val="19"/>
                <w:szCs w:val="19"/>
                <w:color w:val="auto"/>
              </w:rPr>
            </w:pPr>
          </w:p>
        </w:tc>
      </w:tr>
      <w:tr>
        <w:trPr>
          <w:trHeight w:val="21"/>
        </w:trPr>
        <w:tc>
          <w:tcPr>
            <w:tcW w:w="5820" w:type="dxa"/>
            <w:vAlign w:val="bottom"/>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582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2025</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center"/>
              <w:ind w:right="339"/>
              <w:spacing w:after="0"/>
              <w:rPr>
                <w:sz w:val="20"/>
                <w:szCs w:val="20"/>
                <w:color w:val="auto"/>
              </w:rPr>
            </w:pPr>
            <w:r>
              <w:rPr>
                <w:rFonts w:ascii="Arial" w:cs="Arial" w:eastAsia="Arial" w:hAnsi="Arial"/>
                <w:sz w:val="16"/>
                <w:szCs w:val="16"/>
                <w:b w:val="1"/>
                <w:bCs w:val="1"/>
                <w:color w:val="454545"/>
              </w:rPr>
              <w:t>2024</w:t>
            </w:r>
          </w:p>
        </w:tc>
        <w:tc>
          <w:tcPr>
            <w:tcW w:w="560" w:type="dxa"/>
            <w:vAlign w:val="bottom"/>
          </w:tcPr>
          <w:p>
            <w:pPr>
              <w:spacing w:after="0"/>
              <w:rPr>
                <w:sz w:val="19"/>
                <w:szCs w:val="19"/>
                <w:color w:val="auto"/>
              </w:rPr>
            </w:pPr>
          </w:p>
        </w:tc>
        <w:tc>
          <w:tcPr>
            <w:tcW w:w="126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2023</w:t>
            </w:r>
          </w:p>
        </w:tc>
      </w:tr>
      <w:tr>
        <w:trPr>
          <w:trHeight w:val="21"/>
        </w:trPr>
        <w:tc>
          <w:tcPr>
            <w:tcW w:w="582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Share-based compensation expense (pre-tax)</w:t>
            </w:r>
          </w:p>
        </w:tc>
        <w:tc>
          <w:tcPr>
            <w:tcW w:w="1240" w:type="dxa"/>
            <w:vAlign w:val="bottom"/>
            <w:tcBorders>
              <w:bottom w:val="single" w:sz="8" w:color="E4E4E4"/>
            </w:tcBorders>
            <w:shd w:val="clear" w:color="auto" w:fill="E4E4E4"/>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130</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125</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w:t>
            </w:r>
          </w:p>
        </w:tc>
      </w:tr>
      <w:tr>
        <w:trPr>
          <w:trHeight w:val="228"/>
        </w:trPr>
        <w:tc>
          <w:tcPr>
            <w:tcW w:w="5820" w:type="dxa"/>
            <w:vAlign w:val="bottom"/>
          </w:tcPr>
          <w:p>
            <w:pPr>
              <w:ind w:left="20"/>
              <w:spacing w:after="0"/>
              <w:rPr>
                <w:sz w:val="20"/>
                <w:szCs w:val="20"/>
                <w:color w:val="auto"/>
              </w:rPr>
            </w:pPr>
            <w:r>
              <w:rPr>
                <w:rFonts w:ascii="Arial" w:cs="Arial" w:eastAsia="Arial" w:hAnsi="Arial"/>
                <w:sz w:val="16"/>
                <w:szCs w:val="16"/>
                <w:color w:val="auto"/>
              </w:rPr>
              <w:t>Income tax benefits</w:t>
            </w: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w:t>
            </w: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9"/>
        </w:trPr>
        <w:tc>
          <w:tcPr>
            <w:tcW w:w="5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Share-based compensation expense (after-tax)</w:t>
            </w:r>
          </w:p>
        </w:tc>
        <w:tc>
          <w:tcPr>
            <w:tcW w:w="1240" w:type="dxa"/>
            <w:vAlign w:val="bottom"/>
            <w:tcBorders>
              <w:bottom w:val="single" w:sz="8" w:color="E4E4E4"/>
            </w:tcBorders>
            <w:shd w:val="clear" w:color="auto" w:fill="E4E4E4"/>
          </w:tcPr>
          <w:p>
            <w:pPr>
              <w:jc w:val="right"/>
              <w:ind w:right="105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106</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102</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91</w:t>
            </w:r>
          </w:p>
        </w:tc>
      </w:tr>
      <w:tr>
        <w:trPr>
          <w:trHeight w:val="593"/>
        </w:trPr>
        <w:tc>
          <w:tcPr>
            <w:tcW w:w="58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Other Share-based Compensation Data</w:t>
            </w:r>
          </w:p>
        </w:tc>
        <w:tc>
          <w:tcPr>
            <w:tcW w:w="1240" w:type="dxa"/>
            <w:vAlign w:val="bottom"/>
            <w:tcBorders>
              <w:top w:val="single" w:sz="8" w:color="auto"/>
            </w:tcBorders>
          </w:tcPr>
          <w:p>
            <w:pPr>
              <w:spacing w:after="0"/>
              <w:rPr>
                <w:sz w:val="24"/>
                <w:szCs w:val="24"/>
                <w:color w:val="auto"/>
              </w:rPr>
            </w:pPr>
          </w:p>
        </w:tc>
        <w:tc>
          <w:tcPr>
            <w:tcW w:w="2920" w:type="dxa"/>
            <w:vAlign w:val="bottom"/>
            <w:tcBorders>
              <w:top w:val="single" w:sz="8" w:color="auto"/>
            </w:tcBorders>
            <w:gridSpan w:val="4"/>
          </w:tcPr>
          <w:p>
            <w:pPr>
              <w:jc w:val="center"/>
              <w:spacing w:after="0"/>
              <w:rPr>
                <w:sz w:val="20"/>
                <w:szCs w:val="20"/>
                <w:color w:val="auto"/>
              </w:rPr>
            </w:pPr>
            <w:r>
              <w:rPr>
                <w:rFonts w:ascii="Arial" w:cs="Arial" w:eastAsia="Arial" w:hAnsi="Arial"/>
                <w:sz w:val="16"/>
                <w:szCs w:val="16"/>
                <w:b w:val="1"/>
                <w:bCs w:val="1"/>
                <w:color w:val="454545"/>
              </w:rPr>
              <w:t>For the years ended December 31</w:t>
            </w:r>
          </w:p>
        </w:tc>
        <w:tc>
          <w:tcPr>
            <w:tcW w:w="1260" w:type="dxa"/>
            <w:vAlign w:val="bottom"/>
            <w:tcBorders>
              <w:top w:val="single" w:sz="8" w:color="auto"/>
            </w:tcBorders>
          </w:tcPr>
          <w:p>
            <w:pPr>
              <w:spacing w:after="0"/>
              <w:rPr>
                <w:sz w:val="24"/>
                <w:szCs w:val="24"/>
                <w:color w:val="auto"/>
              </w:rPr>
            </w:pPr>
          </w:p>
        </w:tc>
      </w:tr>
      <w:tr>
        <w:trPr>
          <w:trHeight w:val="21"/>
        </w:trPr>
        <w:tc>
          <w:tcPr>
            <w:tcW w:w="5820" w:type="dxa"/>
            <w:vAlign w:val="bottom"/>
          </w:tcPr>
          <w:p>
            <w:pPr>
              <w:spacing w:after="0" w:line="20" w:lineRule="exact"/>
              <w:rPr>
                <w:sz w:val="1"/>
                <w:szCs w:val="1"/>
                <w:color w:val="auto"/>
              </w:rPr>
            </w:pPr>
          </w:p>
        </w:tc>
        <w:tc>
          <w:tcPr>
            <w:tcW w:w="124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420" w:type="dxa"/>
            <w:vAlign w:val="bottom"/>
            <w:tcBorders>
              <w:bottom w:val="single" w:sz="8" w:color="454545"/>
            </w:tcBorders>
          </w:tcPr>
          <w:p>
            <w:pPr>
              <w:spacing w:after="0" w:line="20" w:lineRule="exact"/>
              <w:rPr>
                <w:sz w:val="1"/>
                <w:szCs w:val="1"/>
                <w:color w:val="auto"/>
              </w:rPr>
            </w:pPr>
          </w:p>
        </w:tc>
        <w:tc>
          <w:tcPr>
            <w:tcW w:w="138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260" w:type="dxa"/>
            <w:vAlign w:val="bottom"/>
            <w:tcBorders>
              <w:bottom w:val="single" w:sz="8" w:color="454545"/>
            </w:tcBorders>
          </w:tcPr>
          <w:p>
            <w:pPr>
              <w:spacing w:after="0" w:line="20" w:lineRule="exact"/>
              <w:rPr>
                <w:sz w:val="1"/>
                <w:szCs w:val="1"/>
                <w:color w:val="auto"/>
              </w:rPr>
            </w:pPr>
          </w:p>
        </w:tc>
      </w:tr>
      <w:tr>
        <w:trPr>
          <w:trHeight w:val="229"/>
        </w:trPr>
        <w:tc>
          <w:tcPr>
            <w:tcW w:w="5820" w:type="dxa"/>
            <w:vAlign w:val="bottom"/>
          </w:tcPr>
          <w:p>
            <w:pPr>
              <w:spacing w:after="0"/>
              <w:rPr>
                <w:sz w:val="19"/>
                <w:szCs w:val="19"/>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b w:val="1"/>
                <w:bCs w:val="1"/>
                <w:color w:val="454545"/>
              </w:rPr>
              <w:t>2025</w:t>
            </w: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center"/>
              <w:ind w:right="339"/>
              <w:spacing w:after="0"/>
              <w:rPr>
                <w:sz w:val="20"/>
                <w:szCs w:val="20"/>
                <w:color w:val="auto"/>
              </w:rPr>
            </w:pPr>
            <w:r>
              <w:rPr>
                <w:rFonts w:ascii="Arial" w:cs="Arial" w:eastAsia="Arial" w:hAnsi="Arial"/>
                <w:sz w:val="16"/>
                <w:szCs w:val="16"/>
                <w:b w:val="1"/>
                <w:bCs w:val="1"/>
                <w:color w:val="454545"/>
              </w:rPr>
              <w:t>2024</w:t>
            </w:r>
          </w:p>
        </w:tc>
        <w:tc>
          <w:tcPr>
            <w:tcW w:w="560" w:type="dxa"/>
            <w:vAlign w:val="bottom"/>
          </w:tcPr>
          <w:p>
            <w:pPr>
              <w:spacing w:after="0"/>
              <w:rPr>
                <w:sz w:val="19"/>
                <w:szCs w:val="19"/>
                <w:color w:val="auto"/>
              </w:rPr>
            </w:pPr>
          </w:p>
        </w:tc>
        <w:tc>
          <w:tcPr>
            <w:tcW w:w="1260" w:type="dxa"/>
            <w:vAlign w:val="bottom"/>
          </w:tcPr>
          <w:p>
            <w:pPr>
              <w:jc w:val="right"/>
              <w:ind w:right="639"/>
              <w:spacing w:after="0"/>
              <w:rPr>
                <w:sz w:val="20"/>
                <w:szCs w:val="20"/>
                <w:color w:val="auto"/>
              </w:rPr>
            </w:pPr>
            <w:r>
              <w:rPr>
                <w:rFonts w:ascii="Arial" w:cs="Arial" w:eastAsia="Arial" w:hAnsi="Arial"/>
                <w:sz w:val="16"/>
                <w:szCs w:val="16"/>
                <w:b w:val="1"/>
                <w:bCs w:val="1"/>
                <w:color w:val="454545"/>
              </w:rPr>
              <w:t>2023</w:t>
            </w:r>
          </w:p>
        </w:tc>
      </w:tr>
      <w:tr>
        <w:trPr>
          <w:trHeight w:val="21"/>
        </w:trPr>
        <w:tc>
          <w:tcPr>
            <w:tcW w:w="5820" w:type="dxa"/>
            <w:vAlign w:val="bottom"/>
            <w:tcBorders>
              <w:bottom w:val="single" w:sz="8" w:color="6022A6"/>
            </w:tcBorders>
          </w:tcPr>
          <w:p>
            <w:pPr>
              <w:spacing w:after="0" w:line="20" w:lineRule="exact"/>
              <w:rPr>
                <w:sz w:val="1"/>
                <w:szCs w:val="1"/>
                <w:color w:val="auto"/>
              </w:rPr>
            </w:pPr>
          </w:p>
        </w:tc>
        <w:tc>
          <w:tcPr>
            <w:tcW w:w="124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420" w:type="dxa"/>
            <w:vAlign w:val="bottom"/>
            <w:tcBorders>
              <w:bottom w:val="single" w:sz="8" w:color="6022A6"/>
            </w:tcBorders>
          </w:tcPr>
          <w:p>
            <w:pPr>
              <w:spacing w:after="0" w:line="20" w:lineRule="exact"/>
              <w:rPr>
                <w:sz w:val="1"/>
                <w:szCs w:val="1"/>
                <w:color w:val="auto"/>
              </w:rPr>
            </w:pPr>
          </w:p>
        </w:tc>
        <w:tc>
          <w:tcPr>
            <w:tcW w:w="1380" w:type="dxa"/>
            <w:vAlign w:val="bottom"/>
            <w:tcBorders>
              <w:bottom w:val="single" w:sz="8" w:color="6022A6"/>
            </w:tcBorders>
          </w:tcPr>
          <w:p>
            <w:pPr>
              <w:spacing w:after="0" w:line="20" w:lineRule="exact"/>
              <w:rPr>
                <w:sz w:val="1"/>
                <w:szCs w:val="1"/>
                <w:color w:val="auto"/>
              </w:rPr>
            </w:pPr>
          </w:p>
        </w:tc>
        <w:tc>
          <w:tcPr>
            <w:tcW w:w="560" w:type="dxa"/>
            <w:vAlign w:val="bottom"/>
            <w:tcBorders>
              <w:bottom w:val="single" w:sz="8" w:color="6022A6"/>
            </w:tcBorders>
          </w:tcPr>
          <w:p>
            <w:pPr>
              <w:spacing w:after="0" w:line="20" w:lineRule="exact"/>
              <w:rPr>
                <w:sz w:val="1"/>
                <w:szCs w:val="1"/>
                <w:color w:val="auto"/>
              </w:rPr>
            </w:pPr>
          </w:p>
        </w:tc>
        <w:tc>
          <w:tcPr>
            <w:tcW w:w="1260" w:type="dxa"/>
            <w:vAlign w:val="bottom"/>
            <w:tcBorders>
              <w:bottom w:val="single" w:sz="8" w:color="6022A6"/>
            </w:tcBorders>
          </w:tcPr>
          <w:p>
            <w:pPr>
              <w:spacing w:after="0" w:line="20" w:lineRule="exact"/>
              <w:rPr>
                <w:sz w:val="1"/>
                <w:szCs w:val="1"/>
                <w:color w:val="auto"/>
              </w:rPr>
            </w:pPr>
          </w:p>
        </w:tc>
      </w:tr>
      <w:tr>
        <w:trPr>
          <w:trHeight w:val="230"/>
        </w:trPr>
        <w:tc>
          <w:tcPr>
            <w:tcW w:w="58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Cash received from stock options exercised</w:t>
            </w:r>
          </w:p>
        </w:tc>
        <w:tc>
          <w:tcPr>
            <w:tcW w:w="1240" w:type="dxa"/>
            <w:vAlign w:val="bottom"/>
            <w:tcBorders>
              <w:bottom w:val="single" w:sz="8" w:color="E4E4E4"/>
            </w:tcBorders>
            <w:shd w:val="clear" w:color="auto" w:fill="E4E4E4"/>
          </w:tcPr>
          <w:p>
            <w:pPr>
              <w:jc w:val="right"/>
              <w:ind w:right="105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37</w:t>
            </w:r>
          </w:p>
        </w:tc>
        <w:tc>
          <w:tcPr>
            <w:tcW w:w="420" w:type="dxa"/>
            <w:vAlign w:val="bottom"/>
            <w:tcBorders>
              <w:bottom w:val="single" w:sz="8" w:color="E4E4E4"/>
            </w:tcBorders>
            <w:shd w:val="clear" w:color="auto" w:fill="E4E4E4"/>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33</w:t>
            </w:r>
          </w:p>
        </w:tc>
        <w:tc>
          <w:tcPr>
            <w:tcW w:w="560" w:type="dxa"/>
            <w:vAlign w:val="bottom"/>
            <w:tcBorders>
              <w:bottom w:val="single" w:sz="8" w:color="E4E4E4"/>
            </w:tcBorders>
            <w:shd w:val="clear" w:color="auto" w:fill="E4E4E4"/>
          </w:tcPr>
          <w:p>
            <w:pPr>
              <w:jc w:val="right"/>
              <w:ind w:right="3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34</w:t>
            </w:r>
          </w:p>
        </w:tc>
      </w:tr>
      <w:tr>
        <w:trPr>
          <w:trHeight w:val="228"/>
        </w:trPr>
        <w:tc>
          <w:tcPr>
            <w:tcW w:w="5820" w:type="dxa"/>
            <w:vAlign w:val="bottom"/>
          </w:tcPr>
          <w:p>
            <w:pPr>
              <w:ind w:left="20"/>
              <w:spacing w:after="0"/>
              <w:rPr>
                <w:sz w:val="20"/>
                <w:szCs w:val="20"/>
                <w:color w:val="auto"/>
              </w:rPr>
            </w:pPr>
            <w:r>
              <w:rPr>
                <w:rFonts w:ascii="Arial" w:cs="Arial" w:eastAsia="Arial" w:hAnsi="Arial"/>
                <w:sz w:val="16"/>
                <w:szCs w:val="16"/>
                <w:color w:val="auto"/>
              </w:rPr>
              <w:t>Intrinsic value of stock options exercised and RSUs/PSUs vested</w:t>
            </w:r>
          </w:p>
        </w:tc>
        <w:tc>
          <w:tcPr>
            <w:tcW w:w="1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141</w:t>
            </w: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251</w:t>
            </w:r>
          </w:p>
        </w:tc>
        <w:tc>
          <w:tcPr>
            <w:tcW w:w="5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9"/>
        </w:trPr>
        <w:tc>
          <w:tcPr>
            <w:tcW w:w="58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Unrecognized compensation expense was $159 million as of December 31, 2025 and is expected to be recognized over a weighted-average period of approximately 2.0 years.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257" w:lineRule="exact"/>
        <w:rPr>
          <w:sz w:val="20"/>
          <w:szCs w:val="20"/>
          <w:color w:val="auto"/>
        </w:rPr>
      </w:pPr>
    </w:p>
    <w:p>
      <w:pPr>
        <w:jc w:val="both"/>
        <w:ind w:right="420"/>
        <w:spacing w:after="0" w:line="275" w:lineRule="auto"/>
        <w:rPr>
          <w:sz w:val="20"/>
          <w:szCs w:val="20"/>
          <w:color w:val="auto"/>
        </w:rPr>
      </w:pPr>
      <w:r>
        <w:rPr>
          <w:rFonts w:ascii="Arial" w:cs="Arial" w:eastAsia="Arial" w:hAnsi="Arial"/>
          <w:sz w:val="16"/>
          <w:szCs w:val="16"/>
          <w:color w:val="auto"/>
        </w:rPr>
        <w:t>The numerator for both basic and diluted earnings per share (“EPS”) is Net income attributable to GE HealthCare. The denominator of basic EPS is the weighted-average number of shares outstanding during the period. The dilutive effect of outstanding stock options, RSUs, and PSUs is reflected in the denominator for diluted EPS using the treasury stock method.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Earnings Per Share</w:t>
            </w:r>
          </w:p>
        </w:tc>
        <w:tc>
          <w:tcPr>
            <w:tcW w:w="320" w:type="dxa"/>
            <w:vAlign w:val="bottom"/>
          </w:tcPr>
          <w:p>
            <w:pPr>
              <w:spacing w:after="0"/>
              <w:rPr>
                <w:sz w:val="20"/>
                <w:szCs w:val="20"/>
                <w:color w:val="auto"/>
              </w:rPr>
            </w:pPr>
          </w:p>
        </w:tc>
        <w:tc>
          <w:tcPr>
            <w:tcW w:w="3820" w:type="dxa"/>
            <w:vAlign w:val="bottom"/>
            <w:gridSpan w:val="5"/>
          </w:tcPr>
          <w:p>
            <w:pPr>
              <w:jc w:val="right"/>
              <w:ind w:right="679"/>
              <w:spacing w:after="0"/>
              <w:rPr>
                <w:sz w:val="20"/>
                <w:szCs w:val="20"/>
                <w:color w:val="auto"/>
              </w:rPr>
            </w:pPr>
            <w:r>
              <w:rPr>
                <w:rFonts w:ascii="Arial" w:cs="Arial" w:eastAsia="Arial" w:hAnsi="Arial"/>
                <w:sz w:val="16"/>
                <w:szCs w:val="16"/>
                <w:b w:val="1"/>
                <w:bCs w:val="1"/>
                <w:color w:val="454545"/>
              </w:rPr>
              <w:t>For the years ended December 31</w:t>
            </w:r>
          </w:p>
        </w:tc>
        <w:tc>
          <w:tcPr>
            <w:tcW w:w="0" w:type="dxa"/>
            <w:vAlign w:val="bottom"/>
          </w:tcPr>
          <w:p>
            <w:pPr>
              <w:spacing w:after="0"/>
              <w:rPr>
                <w:sz w:val="1"/>
                <w:szCs w:val="1"/>
                <w:color w:val="auto"/>
              </w:rPr>
            </w:pPr>
          </w:p>
        </w:tc>
      </w:tr>
      <w:tr>
        <w:trPr>
          <w:trHeight w:val="21"/>
        </w:trPr>
        <w:tc>
          <w:tcPr>
            <w:tcW w:w="7100" w:type="dxa"/>
            <w:vAlign w:val="bottom"/>
            <w:vMerge w:val="restart"/>
          </w:tcPr>
          <w:p>
            <w:pPr>
              <w:ind w:left="20"/>
              <w:spacing w:after="0"/>
              <w:rPr>
                <w:sz w:val="20"/>
                <w:szCs w:val="20"/>
                <w:color w:val="auto"/>
              </w:rPr>
            </w:pPr>
            <w:r>
              <w:rPr>
                <w:rFonts w:ascii="Arial" w:cs="Arial" w:eastAsia="Arial" w:hAnsi="Arial"/>
                <w:sz w:val="16"/>
                <w:szCs w:val="16"/>
                <w:b w:val="1"/>
                <w:bCs w:val="1"/>
                <w:i w:val="1"/>
                <w:iCs w:val="1"/>
                <w:color w:val="454545"/>
              </w:rPr>
              <w:t>(In millions, except per share amounts)</w:t>
            </w:r>
          </w:p>
        </w:tc>
        <w:tc>
          <w:tcPr>
            <w:tcW w:w="3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320" w:type="dxa"/>
            <w:vAlign w:val="bottom"/>
            <w:tcBorders>
              <w:bottom w:val="single" w:sz="8" w:color="454545"/>
            </w:tcBorders>
          </w:tcPr>
          <w:p>
            <w:pPr>
              <w:spacing w:after="0" w:line="20" w:lineRule="exact"/>
              <w:rPr>
                <w:sz w:val="1"/>
                <w:szCs w:val="1"/>
                <w:color w:val="auto"/>
              </w:rPr>
            </w:pPr>
          </w:p>
        </w:tc>
        <w:tc>
          <w:tcPr>
            <w:tcW w:w="106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71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2025</w:t>
            </w:r>
          </w:p>
        </w:tc>
        <w:tc>
          <w:tcPr>
            <w:tcW w:w="32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2024</w:t>
            </w:r>
          </w:p>
        </w:tc>
        <w:tc>
          <w:tcPr>
            <w:tcW w:w="320" w:type="dxa"/>
            <w:vAlign w:val="bottom"/>
          </w:tcPr>
          <w:p>
            <w:pPr>
              <w:spacing w:after="0"/>
              <w:rPr>
                <w:sz w:val="19"/>
                <w:szCs w:val="19"/>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454545"/>
              </w:rPr>
              <w:t>2023</w:t>
            </w:r>
          </w:p>
        </w:tc>
        <w:tc>
          <w:tcPr>
            <w:tcW w:w="0" w:type="dxa"/>
            <w:vAlign w:val="bottom"/>
          </w:tcPr>
          <w:p>
            <w:pPr>
              <w:spacing w:after="0"/>
              <w:rPr>
                <w:sz w:val="1"/>
                <w:szCs w:val="1"/>
                <w:color w:val="auto"/>
              </w:rPr>
            </w:pPr>
          </w:p>
        </w:tc>
      </w:tr>
      <w:tr>
        <w:trPr>
          <w:trHeight w:val="21"/>
        </w:trPr>
        <w:tc>
          <w:tcPr>
            <w:tcW w:w="710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320" w:type="dxa"/>
            <w:vAlign w:val="bottom"/>
            <w:tcBorders>
              <w:bottom w:val="single" w:sz="8" w:color="6022A6"/>
            </w:tcBorders>
          </w:tcPr>
          <w:p>
            <w:pPr>
              <w:spacing w:after="0" w:line="20" w:lineRule="exact"/>
              <w:rPr>
                <w:sz w:val="1"/>
                <w:szCs w:val="1"/>
                <w:color w:val="auto"/>
              </w:rPr>
            </w:pPr>
          </w:p>
        </w:tc>
        <w:tc>
          <w:tcPr>
            <w:tcW w:w="1060" w:type="dxa"/>
            <w:vAlign w:val="bottom"/>
            <w:tcBorders>
              <w:bottom w:val="single" w:sz="8" w:color="6022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Numerator:</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100" w:type="dxa"/>
            <w:vAlign w:val="bottom"/>
          </w:tcPr>
          <w:p>
            <w:pPr>
              <w:ind w:left="20"/>
              <w:spacing w:after="0"/>
              <w:rPr>
                <w:sz w:val="20"/>
                <w:szCs w:val="20"/>
                <w:color w:val="auto"/>
              </w:rPr>
            </w:pPr>
            <w:r>
              <w:rPr>
                <w:rFonts w:ascii="Arial" w:cs="Arial" w:eastAsia="Arial" w:hAnsi="Arial"/>
                <w:sz w:val="16"/>
                <w:szCs w:val="16"/>
                <w:color w:val="auto"/>
              </w:rPr>
              <w:t>Net income from 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2,154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2,050</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1,618</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(income) loss attributable to noncontrolling interests</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(70)</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(57)</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1"/>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from continuing operations attributable to GE HealthCare</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2,084</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Deemed preferred stock dividend of redeemable noncontrolling interest</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21"/>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from continuing operations attributable to GE HealthCare common stockholders</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2,084</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1,389</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Income (loss) from discontinued operations, net of taxes</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1"/>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Net income attributable to GE HealthCare common stockholders</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2,084</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1,385</w:t>
            </w:r>
          </w:p>
        </w:tc>
        <w:tc>
          <w:tcPr>
            <w:tcW w:w="0" w:type="dxa"/>
            <w:vAlign w:val="bottom"/>
          </w:tcPr>
          <w:p>
            <w:pPr>
              <w:spacing w:after="0"/>
              <w:rPr>
                <w:sz w:val="1"/>
                <w:szCs w:val="1"/>
                <w:color w:val="auto"/>
              </w:rPr>
            </w:pPr>
          </w:p>
        </w:tc>
      </w:tr>
      <w:tr>
        <w:trPr>
          <w:trHeight w:val="29"/>
        </w:trPr>
        <w:tc>
          <w:tcPr>
            <w:tcW w:w="7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Denominator:</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100" w:type="dxa"/>
            <w:vAlign w:val="bottom"/>
          </w:tcPr>
          <w:p>
            <w:pPr>
              <w:ind w:left="20"/>
              <w:spacing w:after="0"/>
              <w:rPr>
                <w:sz w:val="20"/>
                <w:szCs w:val="20"/>
                <w:color w:val="auto"/>
              </w:rPr>
            </w:pPr>
            <w:r>
              <w:rPr>
                <w:rFonts w:ascii="Arial" w:cs="Arial" w:eastAsia="Arial" w:hAnsi="Arial"/>
                <w:sz w:val="16"/>
                <w:szCs w:val="16"/>
                <w:color w:val="auto"/>
              </w:rPr>
              <w:t>Basic weighted-average shares outstanding</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2"/>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Dilutive effect of common stock equivalents</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320" w:type="dxa"/>
            <w:vAlign w:val="bottom"/>
            <w:tcBorders>
              <w:bottom w:val="single" w:sz="8" w:color="E4E4E4"/>
            </w:tcBorders>
            <w:shd w:val="clear" w:color="auto" w:fill="E4E4E4"/>
          </w:tcPr>
          <w:p>
            <w:pPr>
              <w:spacing w:after="0"/>
              <w:rPr>
                <w:sz w:val="22"/>
                <w:szCs w:val="22"/>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1"/>
        </w:trPr>
        <w:tc>
          <w:tcPr>
            <w:tcW w:w="71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Diluted weighted-average shares outstanding</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w:t>
            </w: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0" w:type="dxa"/>
            <w:vAlign w:val="bottom"/>
          </w:tcPr>
          <w:p>
            <w:pPr>
              <w:spacing w:after="0"/>
              <w:rPr>
                <w:sz w:val="1"/>
                <w:szCs w:val="1"/>
                <w:color w:val="auto"/>
              </w:rPr>
            </w:pPr>
          </w:p>
        </w:tc>
      </w:tr>
      <w:tr>
        <w:trPr>
          <w:trHeight w:val="29"/>
        </w:trPr>
        <w:tc>
          <w:tcPr>
            <w:tcW w:w="7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Basic Earnings Per Share:</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100" w:type="dxa"/>
            <w:vAlign w:val="bottom"/>
          </w:tcPr>
          <w:p>
            <w:pPr>
              <w:ind w:left="18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00" w:type="dxa"/>
            <w:vAlign w:val="bottom"/>
            <w:tcBorders>
              <w:bottom w:val="single" w:sz="8" w:color="E4E4E4"/>
            </w:tcBorders>
            <w:shd w:val="clear" w:color="auto" w:fill="E4E4E4"/>
          </w:tcPr>
          <w:p>
            <w:pPr>
              <w:ind w:left="18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28"/>
        </w:trPr>
        <w:tc>
          <w:tcPr>
            <w:tcW w:w="7100" w:type="dxa"/>
            <w:vAlign w:val="bottom"/>
          </w:tcPr>
          <w:p>
            <w:pPr>
              <w:ind w:left="180"/>
              <w:spacing w:after="0"/>
              <w:rPr>
                <w:sz w:val="20"/>
                <w:szCs w:val="20"/>
                <w:color w:val="auto"/>
              </w:rPr>
            </w:pPr>
            <w:r>
              <w:rPr>
                <w:rFonts w:ascii="Arial" w:cs="Arial" w:eastAsia="Arial" w:hAnsi="Arial"/>
                <w:sz w:val="16"/>
                <w:szCs w:val="16"/>
                <w:color w:val="auto"/>
              </w:rPr>
              <w:t>Attributable to GE HealthCare common stockholders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4.56</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4.37</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i w:val="1"/>
                <w:iCs w:val="1"/>
                <w:color w:val="auto"/>
              </w:rPr>
              <w:t>Diluted Earnings Per Share:</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100" w:type="dxa"/>
            <w:vAlign w:val="bottom"/>
          </w:tcPr>
          <w:p>
            <w:pPr>
              <w:ind w:left="180"/>
              <w:spacing w:after="0"/>
              <w:rPr>
                <w:sz w:val="20"/>
                <w:szCs w:val="20"/>
                <w:color w:val="auto"/>
              </w:rPr>
            </w:pPr>
            <w:r>
              <w:rPr>
                <w:rFonts w:ascii="Arial" w:cs="Arial" w:eastAsia="Arial" w:hAnsi="Arial"/>
                <w:sz w:val="16"/>
                <w:szCs w:val="16"/>
                <w:color w:val="auto"/>
              </w:rPr>
              <w:t>Continuing operations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4.55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29"/>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100" w:type="dxa"/>
            <w:vAlign w:val="bottom"/>
            <w:tcBorders>
              <w:bottom w:val="single" w:sz="8" w:color="E4E4E4"/>
            </w:tcBorders>
            <w:shd w:val="clear" w:color="auto" w:fill="E4E4E4"/>
          </w:tcPr>
          <w:p>
            <w:pPr>
              <w:ind w:left="20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E4E4E4"/>
            </w:tcBorders>
            <w:shd w:val="clear" w:color="auto" w:fill="E4E4E4"/>
          </w:tcPr>
          <w:p>
            <w:pPr>
              <w:spacing w:after="0"/>
              <w:rPr>
                <w:sz w:val="20"/>
                <w:szCs w:val="20"/>
                <w:color w:val="auto"/>
              </w:rPr>
            </w:pPr>
          </w:p>
        </w:tc>
        <w:tc>
          <w:tcPr>
            <w:tcW w:w="10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(0.01)</w:t>
            </w:r>
          </w:p>
        </w:tc>
        <w:tc>
          <w:tcPr>
            <w:tcW w:w="0" w:type="dxa"/>
            <w:vAlign w:val="bottom"/>
          </w:tcPr>
          <w:p>
            <w:pPr>
              <w:spacing w:after="0"/>
              <w:rPr>
                <w:sz w:val="1"/>
                <w:szCs w:val="1"/>
                <w:color w:val="auto"/>
              </w:rPr>
            </w:pPr>
          </w:p>
        </w:tc>
      </w:tr>
      <w:tr>
        <w:trPr>
          <w:trHeight w:val="228"/>
        </w:trPr>
        <w:tc>
          <w:tcPr>
            <w:tcW w:w="7100" w:type="dxa"/>
            <w:vAlign w:val="bottom"/>
          </w:tcPr>
          <w:p>
            <w:pPr>
              <w:ind w:left="200"/>
              <w:spacing w:after="0"/>
              <w:rPr>
                <w:sz w:val="20"/>
                <w:szCs w:val="20"/>
                <w:color w:val="auto"/>
              </w:rPr>
            </w:pPr>
            <w:r>
              <w:rPr>
                <w:rFonts w:ascii="Arial" w:cs="Arial" w:eastAsia="Arial" w:hAnsi="Arial"/>
                <w:sz w:val="16"/>
                <w:szCs w:val="16"/>
                <w:color w:val="auto"/>
              </w:rPr>
              <w:t>Attributable to GE HealthCare common stockholders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4.55</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4.34</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9"/>
        </w:trPr>
        <w:tc>
          <w:tcPr>
            <w:tcW w:w="7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1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Antidilutive securities</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E4E4E4"/>
          </w:tcPr>
          <w:p>
            <w:pPr>
              <w:spacing w:after="0"/>
              <w:rPr>
                <w:sz w:val="21"/>
                <w:szCs w:val="21"/>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shd w:val="clear" w:color="auto" w:fill="E4E4E4"/>
          </w:tcPr>
          <w:p>
            <w:pPr>
              <w:spacing w:after="0"/>
              <w:rPr>
                <w:sz w:val="21"/>
                <w:szCs w:val="21"/>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w:t>
            </w:r>
          </w:p>
        </w:tc>
        <w:tc>
          <w:tcPr>
            <w:tcW w:w="320" w:type="dxa"/>
            <w:vAlign w:val="bottom"/>
            <w:tcBorders>
              <w:bottom w:val="single" w:sz="8" w:color="auto"/>
            </w:tcBorders>
            <w:shd w:val="clear" w:color="auto" w:fill="E4E4E4"/>
          </w:tcPr>
          <w:p>
            <w:pPr>
              <w:spacing w:after="0"/>
              <w:rPr>
                <w:sz w:val="21"/>
                <w:szCs w:val="21"/>
                <w:color w:val="auto"/>
              </w:rPr>
            </w:pPr>
          </w:p>
        </w:tc>
        <w:tc>
          <w:tcPr>
            <w:tcW w:w="10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Diluted earnings per share excludes certain shares issuable under share-based compensation plans because the effect would have been antidilutive.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SUPPLEMENTAL FINANCIAL INFORMATION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CASH, CASH EQUIVALENTS, AND RESTRICTED CASH.</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56"/>
        </w:trPr>
        <w:tc>
          <w:tcPr>
            <w:tcW w:w="7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180" w:type="dxa"/>
            <w:vAlign w:val="bottom"/>
            <w:tcBorders>
              <w:bottom w:val="single" w:sz="8" w:color="6022A6"/>
            </w:tcBorders>
          </w:tcPr>
          <w:p>
            <w:pPr>
              <w:spacing w:after="0"/>
              <w:rPr>
                <w:sz w:val="19"/>
                <w:szCs w:val="19"/>
                <w:color w:val="auto"/>
              </w:rPr>
            </w:pPr>
          </w:p>
        </w:tc>
        <w:tc>
          <w:tcPr>
            <w:tcW w:w="178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53"/>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180" w:type="dxa"/>
            <w:vAlign w:val="bottom"/>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4,492</w:t>
            </w:r>
          </w:p>
        </w:tc>
        <w:tc>
          <w:tcPr>
            <w:tcW w:w="2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2,874</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Short-term restricted cash</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9"/>
        </w:trPr>
        <w:tc>
          <w:tcPr>
            <w:tcW w:w="7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Consolidated</w:t>
            </w:r>
          </w:p>
        </w:tc>
        <w:tc>
          <w:tcPr>
            <w:tcW w:w="180" w:type="dxa"/>
            <w:vAlign w:val="bottom"/>
            <w:shd w:val="clear" w:color="auto" w:fill="E4E4E4"/>
          </w:tcPr>
          <w:p>
            <w:pPr>
              <w:spacing w:after="0"/>
              <w:rPr>
                <w:sz w:val="18"/>
                <w:szCs w:val="18"/>
                <w:color w:val="auto"/>
              </w:rPr>
            </w:pPr>
          </w:p>
        </w:tc>
        <w:tc>
          <w:tcPr>
            <w:tcW w:w="178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Statements of Financial Position</w:t>
            </w:r>
          </w:p>
        </w:tc>
        <w:tc>
          <w:tcPr>
            <w:tcW w:w="18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4,512</w:t>
            </w:r>
          </w:p>
        </w:tc>
        <w:tc>
          <w:tcPr>
            <w:tcW w:w="22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2,889</w:t>
            </w:r>
          </w:p>
        </w:tc>
      </w:tr>
      <w:tr>
        <w:trPr>
          <w:trHeight w:val="257"/>
        </w:trPr>
        <w:tc>
          <w:tcPr>
            <w:tcW w:w="732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Long-term restricted cash</w:t>
            </w:r>
            <w:r>
              <w:rPr>
                <w:rFonts w:ascii="Arial" w:cs="Arial" w:eastAsia="Arial" w:hAnsi="Arial"/>
                <w:sz w:val="21"/>
                <w:szCs w:val="21"/>
                <w:color w:val="auto"/>
                <w:vertAlign w:val="superscript"/>
              </w:rPr>
              <w:t>(2)</w:t>
            </w: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09"/>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b w:val="1"/>
                <w:bCs w:val="1"/>
                <w:color w:val="auto"/>
              </w:rPr>
              <w:t>Total Cash, cash equivalents, and restricted cash as presented in the Consolidated</w:t>
            </w:r>
          </w:p>
        </w:tc>
        <w:tc>
          <w:tcPr>
            <w:tcW w:w="180" w:type="dxa"/>
            <w:vAlign w:val="bottom"/>
            <w:shd w:val="clear" w:color="auto" w:fill="E4E4E4"/>
          </w:tcPr>
          <w:p>
            <w:pPr>
              <w:spacing w:after="0"/>
              <w:rPr>
                <w:sz w:val="18"/>
                <w:szCs w:val="18"/>
                <w:color w:val="auto"/>
              </w:rPr>
            </w:pPr>
          </w:p>
        </w:tc>
        <w:tc>
          <w:tcPr>
            <w:tcW w:w="1780" w:type="dxa"/>
            <w:vAlign w:val="bottom"/>
            <w:shd w:val="clear" w:color="auto" w:fill="E4E4E4"/>
          </w:tcPr>
          <w:p>
            <w:pPr>
              <w:spacing w:after="0"/>
              <w:rPr>
                <w:sz w:val="18"/>
                <w:szCs w:val="18"/>
                <w:color w:val="auto"/>
              </w:rPr>
            </w:pPr>
          </w:p>
        </w:tc>
        <w:tc>
          <w:tcPr>
            <w:tcW w:w="220" w:type="dxa"/>
            <w:vAlign w:val="bottom"/>
            <w:shd w:val="clear" w:color="auto" w:fill="E4E4E4"/>
          </w:tcPr>
          <w:p>
            <w:pPr>
              <w:spacing w:after="0"/>
              <w:rPr>
                <w:sz w:val="18"/>
                <w:szCs w:val="18"/>
                <w:color w:val="auto"/>
              </w:rPr>
            </w:pPr>
          </w:p>
        </w:tc>
        <w:tc>
          <w:tcPr>
            <w:tcW w:w="1740" w:type="dxa"/>
            <w:vAlign w:val="bottom"/>
            <w:shd w:val="clear" w:color="auto" w:fill="E4E4E4"/>
          </w:tcPr>
          <w:p>
            <w:pPr>
              <w:spacing w:after="0"/>
              <w:rPr>
                <w:sz w:val="18"/>
                <w:szCs w:val="18"/>
                <w:color w:val="auto"/>
              </w:rPr>
            </w:pPr>
          </w:p>
        </w:tc>
      </w:tr>
      <w:tr>
        <w:trPr>
          <w:trHeight w:val="224"/>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Statements of Cash Flows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4,515</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2,893</w:t>
            </w:r>
          </w:p>
        </w:tc>
      </w:tr>
      <w:tr>
        <w:trPr>
          <w:trHeight w:val="20"/>
        </w:trPr>
        <w:tc>
          <w:tcPr>
            <w:tcW w:w="7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r>
    </w:tbl>
    <w:p>
      <w:pPr>
        <w:spacing w:after="0" w:line="67" w:lineRule="exact"/>
        <w:rPr>
          <w:sz w:val="20"/>
          <w:szCs w:val="20"/>
          <w:color w:val="auto"/>
        </w:rPr>
      </w:pPr>
    </w:p>
    <w:p>
      <w:pPr>
        <w:ind w:left="260" w:right="340" w:hanging="252"/>
        <w:spacing w:after="0" w:line="265" w:lineRule="auto"/>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increase in Cash and cash equivalents was primarily due to proceeds from the issuance of senior unsecured notes by the Company in the fourth quarter of 2025. Refer to Note 9, “Borrowings” for further information.</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Long-term restricted cash is recognized within All other non-current assets in the Consolidated Statements of Financial Position.</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INVENTORIES.</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180" w:type="dxa"/>
            <w:vAlign w:val="bottom"/>
            <w:tcBorders>
              <w:bottom w:val="single" w:sz="8" w:color="6022A6"/>
            </w:tcBorders>
          </w:tcPr>
          <w:p>
            <w:pPr>
              <w:spacing w:after="0"/>
              <w:rPr>
                <w:sz w:val="19"/>
                <w:szCs w:val="19"/>
                <w:color w:val="auto"/>
              </w:rPr>
            </w:pPr>
          </w:p>
        </w:tc>
        <w:tc>
          <w:tcPr>
            <w:tcW w:w="178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c>
          <w:tcPr>
            <w:tcW w:w="220" w:type="dxa"/>
            <w:vAlign w:val="bottom"/>
            <w:tcBorders>
              <w:bottom w:val="single" w:sz="8" w:color="6022A6"/>
            </w:tcBorders>
          </w:tcPr>
          <w:p>
            <w:pPr>
              <w:spacing w:after="0"/>
              <w:rPr>
                <w:sz w:val="19"/>
                <w:szCs w:val="19"/>
                <w:color w:val="auto"/>
              </w:rPr>
            </w:pPr>
          </w:p>
        </w:tc>
        <w:tc>
          <w:tcPr>
            <w:tcW w:w="174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3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Raw materials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1,002</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921</w:t>
            </w:r>
          </w:p>
        </w:tc>
      </w:tr>
      <w:tr>
        <w:trPr>
          <w:trHeight w:val="228"/>
        </w:trPr>
        <w:tc>
          <w:tcPr>
            <w:tcW w:w="73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9"/>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62"/>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E4E4E4"/>
            </w:tcBorders>
            <w:shd w:val="clear" w:color="auto" w:fill="E4E4E4"/>
          </w:tcPr>
          <w:p>
            <w:pPr>
              <w:spacing w:after="0"/>
              <w:rPr>
                <w:sz w:val="22"/>
                <w:szCs w:val="22"/>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1,137</w:t>
            </w:r>
          </w:p>
        </w:tc>
        <w:tc>
          <w:tcPr>
            <w:tcW w:w="220" w:type="dxa"/>
            <w:vAlign w:val="bottom"/>
            <w:tcBorders>
              <w:bottom w:val="single" w:sz="8" w:color="E4E4E4"/>
            </w:tcBorders>
            <w:shd w:val="clear" w:color="auto" w:fill="E4E4E4"/>
          </w:tcPr>
          <w:p>
            <w:pPr>
              <w:spacing w:after="0"/>
              <w:rPr>
                <w:sz w:val="22"/>
                <w:szCs w:val="22"/>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926</w:t>
            </w:r>
          </w:p>
        </w:tc>
      </w:tr>
      <w:tr>
        <w:trPr>
          <w:trHeight w:val="229"/>
        </w:trPr>
        <w:tc>
          <w:tcPr>
            <w:tcW w:w="73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2,234</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1,939</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280"/>
        <w:spacing w:after="0" w:line="304" w:lineRule="auto"/>
        <w:rPr>
          <w:sz w:val="20"/>
          <w:szCs w:val="20"/>
          <w:color w:val="auto"/>
        </w:rPr>
      </w:pPr>
      <w:r>
        <w:rPr>
          <w:rFonts w:ascii="Arial" w:cs="Arial" w:eastAsia="Arial" w:hAnsi="Arial"/>
          <w:sz w:val="16"/>
          <w:szCs w:val="16"/>
          <w:color w:val="auto"/>
        </w:rPr>
        <w:t>Certain inventory items are long-term in nature and therefore have been recognized within All other non-current assets in the Consolidated Statements of Financial Position and are not reflected in the table above. See the supplemental table “All Other Non-Current Assets” for further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PROPERTY, PLANT, AND EQUIPMENT – NET.</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9"/>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454545"/>
              </w:rPr>
              <w:t>December 31, 2025</w:t>
            </w:r>
          </w:p>
        </w:tc>
        <w:tc>
          <w:tcPr>
            <w:tcW w:w="220" w:type="dxa"/>
            <w:vAlign w:val="bottom"/>
          </w:tcPr>
          <w:p>
            <w:pPr>
              <w:spacing w:after="0"/>
              <w:rPr>
                <w:sz w:val="19"/>
                <w:szCs w:val="19"/>
                <w:color w:val="auto"/>
              </w:rPr>
            </w:pPr>
          </w:p>
        </w:tc>
        <w:tc>
          <w:tcPr>
            <w:tcW w:w="1720" w:type="dxa"/>
            <w:vAlign w:val="bottom"/>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1"/>
        </w:trPr>
        <w:tc>
          <w:tcPr>
            <w:tcW w:w="7320" w:type="dxa"/>
            <w:vAlign w:val="bottom"/>
            <w:tcBorders>
              <w:bottom w:val="single" w:sz="8" w:color="6400A0"/>
            </w:tcBorders>
          </w:tcPr>
          <w:p>
            <w:pPr>
              <w:spacing w:after="0" w:line="20" w:lineRule="exact"/>
              <w:rPr>
                <w:sz w:val="1"/>
                <w:szCs w:val="1"/>
                <w:color w:val="auto"/>
              </w:rPr>
            </w:pPr>
          </w:p>
        </w:tc>
        <w:tc>
          <w:tcPr>
            <w:tcW w:w="180" w:type="dxa"/>
            <w:vAlign w:val="bottom"/>
            <w:tcBorders>
              <w:bottom w:val="single" w:sz="8" w:color="6400A0"/>
            </w:tcBorders>
          </w:tcPr>
          <w:p>
            <w:pPr>
              <w:spacing w:after="0" w:line="20" w:lineRule="exact"/>
              <w:rPr>
                <w:sz w:val="1"/>
                <w:szCs w:val="1"/>
                <w:color w:val="auto"/>
              </w:rPr>
            </w:pPr>
          </w:p>
        </w:tc>
        <w:tc>
          <w:tcPr>
            <w:tcW w:w="1800" w:type="dxa"/>
            <w:vAlign w:val="bottom"/>
            <w:tcBorders>
              <w:bottom w:val="single" w:sz="8" w:color="6400A0"/>
            </w:tcBorders>
          </w:tcPr>
          <w:p>
            <w:pPr>
              <w:spacing w:after="0" w:line="20" w:lineRule="exact"/>
              <w:rPr>
                <w:sz w:val="1"/>
                <w:szCs w:val="1"/>
                <w:color w:val="auto"/>
              </w:rPr>
            </w:pPr>
          </w:p>
        </w:tc>
        <w:tc>
          <w:tcPr>
            <w:tcW w:w="220" w:type="dxa"/>
            <w:vAlign w:val="bottom"/>
            <w:tcBorders>
              <w:bottom w:val="single" w:sz="8" w:color="6400A0"/>
            </w:tcBorders>
          </w:tcPr>
          <w:p>
            <w:pPr>
              <w:spacing w:after="0" w:line="20" w:lineRule="exact"/>
              <w:rPr>
                <w:sz w:val="1"/>
                <w:szCs w:val="1"/>
                <w:color w:val="auto"/>
              </w:rPr>
            </w:pPr>
          </w:p>
        </w:tc>
        <w:tc>
          <w:tcPr>
            <w:tcW w:w="1720" w:type="dxa"/>
            <w:vAlign w:val="bottom"/>
            <w:tcBorders>
              <w:bottom w:val="single" w:sz="8" w:color="6400A0"/>
            </w:tcBorders>
          </w:tcPr>
          <w:p>
            <w:pPr>
              <w:spacing w:after="0" w:line="20" w:lineRule="exact"/>
              <w:rPr>
                <w:sz w:val="1"/>
                <w:szCs w:val="1"/>
                <w:color w:val="auto"/>
              </w:rPr>
            </w:pP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Land and improvements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144</w:t>
            </w:r>
          </w:p>
        </w:tc>
        <w:tc>
          <w:tcPr>
            <w:tcW w:w="22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66</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Buildings, structures, and related equipment</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2,140</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1,943</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E4E4E4"/>
            </w:tcBorders>
            <w:shd w:val="clear" w:color="auto" w:fill="E4E4E4"/>
          </w:tcPr>
          <w:p>
            <w:pPr>
              <w:spacing w:after="0"/>
              <w:rPr>
                <w:sz w:val="19"/>
                <w:szCs w:val="19"/>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2,872</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2,705</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Leasehold improvements and manufacturing plants under construction</w:t>
            </w:r>
          </w:p>
        </w:tc>
        <w:tc>
          <w:tcPr>
            <w:tcW w:w="1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574</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553</w:t>
            </w:r>
          </w:p>
        </w:tc>
      </w:tr>
      <w:tr>
        <w:trPr>
          <w:trHeight w:val="28"/>
        </w:trPr>
        <w:tc>
          <w:tcPr>
            <w:tcW w:w="7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property, plant, and equipment, at original cost</w:t>
            </w:r>
          </w:p>
        </w:tc>
        <w:tc>
          <w:tcPr>
            <w:tcW w:w="180" w:type="dxa"/>
            <w:vAlign w:val="bottom"/>
            <w:tcBorders>
              <w:bottom w:val="single" w:sz="8" w:color="E4E4E4"/>
            </w:tcBorders>
            <w:shd w:val="clear" w:color="auto" w:fill="E4E4E4"/>
          </w:tcPr>
          <w:p>
            <w:pPr>
              <w:spacing w:after="0"/>
              <w:rPr>
                <w:sz w:val="20"/>
                <w:szCs w:val="20"/>
                <w:color w:val="auto"/>
              </w:rPr>
            </w:pPr>
          </w:p>
        </w:tc>
        <w:tc>
          <w:tcPr>
            <w:tcW w:w="18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5,731</w:t>
            </w:r>
          </w:p>
        </w:tc>
        <w:tc>
          <w:tcPr>
            <w:tcW w:w="220" w:type="dxa"/>
            <w:vAlign w:val="bottom"/>
            <w:tcBorders>
              <w:bottom w:val="single" w:sz="8" w:color="E4E4E4"/>
            </w:tcBorders>
            <w:shd w:val="clear" w:color="auto" w:fill="E4E4E4"/>
          </w:tcPr>
          <w:p>
            <w:pPr>
              <w:spacing w:after="0"/>
              <w:rPr>
                <w:sz w:val="20"/>
                <w:szCs w:val="20"/>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5,267</w:t>
            </w:r>
          </w:p>
        </w:tc>
      </w:tr>
      <w:tr>
        <w:trPr>
          <w:trHeight w:val="227"/>
        </w:trPr>
        <w:tc>
          <w:tcPr>
            <w:tcW w:w="7320" w:type="dxa"/>
            <w:vAlign w:val="bottom"/>
          </w:tcPr>
          <w:p>
            <w:pPr>
              <w:ind w:left="20"/>
              <w:spacing w:after="0"/>
              <w:rPr>
                <w:sz w:val="20"/>
                <w:szCs w:val="20"/>
                <w:color w:val="auto"/>
              </w:rPr>
            </w:pPr>
            <w:r>
              <w:rPr>
                <w:rFonts w:ascii="Arial" w:cs="Arial" w:eastAsia="Arial" w:hAnsi="Arial"/>
                <w:sz w:val="16"/>
                <w:szCs w:val="16"/>
                <w:color w:val="auto"/>
              </w:rPr>
              <w:t>Accumulated depreciation</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(3,049)</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(3,080)</w:t>
            </w:r>
          </w:p>
        </w:tc>
      </w:tr>
      <w:tr>
        <w:trPr>
          <w:trHeight w:val="29"/>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6"/>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Right-of-use operating lease assets, net of amortization</w:t>
            </w:r>
            <w:r>
              <w:rPr>
                <w:rFonts w:ascii="Arial" w:cs="Arial" w:eastAsia="Arial" w:hAnsi="Arial"/>
                <w:sz w:val="21"/>
                <w:szCs w:val="21"/>
                <w:color w:val="auto"/>
                <w:vertAlign w:val="superscript"/>
              </w:rPr>
              <w:t>(1)</w:t>
            </w:r>
          </w:p>
        </w:tc>
        <w:tc>
          <w:tcPr>
            <w:tcW w:w="180" w:type="dxa"/>
            <w:vAlign w:val="bottom"/>
            <w:tcBorders>
              <w:bottom w:val="single" w:sz="8" w:color="auto"/>
            </w:tcBorders>
            <w:shd w:val="clear" w:color="auto" w:fill="E4E4E4"/>
          </w:tcPr>
          <w:p>
            <w:pPr>
              <w:spacing w:after="0"/>
              <w:rPr>
                <w:sz w:val="22"/>
                <w:szCs w:val="22"/>
                <w:color w:val="auto"/>
              </w:rPr>
            </w:pPr>
          </w:p>
        </w:tc>
        <w:tc>
          <w:tcPr>
            <w:tcW w:w="18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410</w:t>
            </w:r>
          </w:p>
        </w:tc>
        <w:tc>
          <w:tcPr>
            <w:tcW w:w="220" w:type="dxa"/>
            <w:vAlign w:val="bottom"/>
            <w:tcBorders>
              <w:bottom w:val="single" w:sz="8" w:color="auto"/>
            </w:tcBorders>
            <w:shd w:val="clear" w:color="auto" w:fill="E4E4E4"/>
          </w:tcPr>
          <w:p>
            <w:pPr>
              <w:spacing w:after="0"/>
              <w:rPr>
                <w:sz w:val="22"/>
                <w:szCs w:val="22"/>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364</w:t>
            </w:r>
          </w:p>
        </w:tc>
      </w:tr>
      <w:tr>
        <w:trPr>
          <w:trHeight w:val="22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 – net</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rPr>
              <w:t>3,092</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2,550</w:t>
            </w:r>
          </w:p>
        </w:tc>
      </w:tr>
      <w:tr>
        <w:trPr>
          <w:trHeight w:val="21"/>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(1) See Note 7, “Leases” for further information.</w:t>
      </w:r>
    </w:p>
    <w:p>
      <w:pPr>
        <w:spacing w:after="0" w:line="248" w:lineRule="exact"/>
        <w:rPr>
          <w:sz w:val="20"/>
          <w:szCs w:val="20"/>
          <w:color w:val="auto"/>
        </w:rPr>
      </w:pPr>
    </w:p>
    <w:p>
      <w:pPr>
        <w:ind w:right="680"/>
        <w:spacing w:after="0" w:line="304" w:lineRule="auto"/>
        <w:rPr>
          <w:sz w:val="20"/>
          <w:szCs w:val="20"/>
          <w:color w:val="auto"/>
        </w:rPr>
      </w:pPr>
      <w:r>
        <w:rPr>
          <w:rFonts w:ascii="Arial" w:cs="Arial" w:eastAsia="Arial" w:hAnsi="Arial"/>
          <w:sz w:val="16"/>
          <w:szCs w:val="16"/>
          <w:color w:val="auto"/>
        </w:rPr>
        <w:t>Depreciation expense related to Property, plant, and equipment – net, exclusive of ROU operating lease assets, was $287 million, $268 million, and $248 million for the years ended December 31, 2025, 2024, and 2023, respectively.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ALL OTHER ASSETS AND ALL OTHER LIABILITIES.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99"/>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200" w:type="dxa"/>
            <w:vAlign w:val="bottom"/>
          </w:tcPr>
          <w:p>
            <w:pPr>
              <w:spacing w:after="0"/>
              <w:rPr>
                <w:sz w:val="24"/>
                <w:szCs w:val="24"/>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4"/>
                <w:szCs w:val="24"/>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200" w:type="dxa"/>
            <w:vAlign w:val="bottom"/>
            <w:tcBorders>
              <w:bottom w:val="single" w:sz="8" w:color="6400A0"/>
            </w:tcBorders>
          </w:tcPr>
          <w:p>
            <w:pPr>
              <w:spacing w:after="0"/>
              <w:rPr>
                <w:sz w:val="19"/>
                <w:szCs w:val="19"/>
                <w:color w:val="auto"/>
              </w:rPr>
            </w:pPr>
          </w:p>
        </w:tc>
        <w:tc>
          <w:tcPr>
            <w:tcW w:w="178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expenses and deferred costs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228</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188</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Financing receivables – net</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1"/>
                <w:szCs w:val="21"/>
                <w:color w:val="auto"/>
              </w:rPr>
            </w:pPr>
          </w:p>
        </w:tc>
        <w:tc>
          <w:tcPr>
            <w:tcW w:w="1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169</w:t>
            </w:r>
          </w:p>
        </w:tc>
        <w:tc>
          <w:tcPr>
            <w:tcW w:w="220" w:type="dxa"/>
            <w:vAlign w:val="bottom"/>
            <w:shd w:val="clear" w:color="auto" w:fill="E4E4E4"/>
          </w:tcPr>
          <w:p>
            <w:pPr>
              <w:spacing w:after="0"/>
              <w:rPr>
                <w:sz w:val="21"/>
                <w:szCs w:val="21"/>
                <w:color w:val="auto"/>
              </w:rPr>
            </w:pPr>
          </w:p>
        </w:tc>
        <w:tc>
          <w:tcPr>
            <w:tcW w:w="1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123</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Tax receivables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154</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E4E4E4"/>
          </w:tcPr>
          <w:p>
            <w:pPr>
              <w:spacing w:after="0"/>
              <w:rPr>
                <w:sz w:val="21"/>
                <w:szCs w:val="21"/>
                <w:color w:val="auto"/>
              </w:rPr>
            </w:pPr>
          </w:p>
        </w:tc>
        <w:tc>
          <w:tcPr>
            <w:tcW w:w="1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81</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16</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assets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726</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532</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53" w:lineRule="exact"/>
        <w:rPr>
          <w:sz w:val="20"/>
          <w:szCs w:val="20"/>
          <w:color w:val="auto"/>
        </w:rPr>
      </w:pPr>
    </w:p>
    <w:p>
      <w:pPr>
        <w:ind w:left="260" w:right="860" w:hanging="252"/>
        <w:spacing w:after="0" w:line="256" w:lineRule="auto"/>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13, “Financial Instruments and Fair Value Measurements” for further information.</w:t>
      </w:r>
    </w:p>
    <w:p>
      <w:pPr>
        <w:spacing w:after="0" w:line="1" w:lineRule="exact"/>
        <w:rPr>
          <w:rFonts w:ascii="Arial" w:cs="Arial" w:eastAsia="Arial" w:hAnsi="Arial"/>
          <w:sz w:val="16"/>
          <w:szCs w:val="16"/>
          <w:color w:val="auto"/>
        </w:rPr>
      </w:pPr>
    </w:p>
    <w:p>
      <w:pPr>
        <w:ind w:left="260" w:right="140" w:hanging="252"/>
        <w:spacing w:after="0" w:line="265" w:lineRule="auto"/>
        <w:tabs>
          <w:tab w:leader="none" w:pos="2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As of December 31, 2025, Other primarily consists of indemnity assets associated with the NMP acquisition and separation agreements with GE. These amounts were not material as of December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20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200" w:type="dxa"/>
            <w:vAlign w:val="bottom"/>
            <w:tcBorders>
              <w:bottom w:val="single" w:sz="8" w:color="6400A0"/>
            </w:tcBorders>
          </w:tcPr>
          <w:p>
            <w:pPr>
              <w:spacing w:after="0"/>
              <w:rPr>
                <w:sz w:val="19"/>
                <w:szCs w:val="19"/>
                <w:color w:val="auto"/>
              </w:rPr>
            </w:pPr>
          </w:p>
        </w:tc>
        <w:tc>
          <w:tcPr>
            <w:tcW w:w="178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c>
          <w:tcPr>
            <w:tcW w:w="220" w:type="dxa"/>
            <w:vAlign w:val="bottom"/>
            <w:tcBorders>
              <w:bottom w:val="single" w:sz="8" w:color="6400A0"/>
            </w:tcBorders>
          </w:tcPr>
          <w:p>
            <w:pPr>
              <w:spacing w:after="0"/>
              <w:rPr>
                <w:sz w:val="19"/>
                <w:szCs w:val="19"/>
                <w:color w:val="auto"/>
              </w:rPr>
            </w:pPr>
          </w:p>
        </w:tc>
        <w:tc>
          <w:tcPr>
            <w:tcW w:w="1720" w:type="dxa"/>
            <w:vAlign w:val="bottom"/>
            <w:tcBorders>
              <w:bottom w:val="single" w:sz="8" w:color="6400A0"/>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Prepaid pension asset</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742</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657</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Equity method and other investments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351</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Financing receivables – net</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190</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183</w:t>
            </w:r>
          </w:p>
        </w:tc>
      </w:tr>
      <w:tr>
        <w:trPr>
          <w:trHeight w:val="243"/>
        </w:trPr>
        <w:tc>
          <w:tcPr>
            <w:tcW w:w="7320" w:type="dxa"/>
            <w:vAlign w:val="bottom"/>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88</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Long-term receivables – net</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190</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142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121</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and other deferred assets</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211</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208</w:t>
            </w:r>
          </w:p>
        </w:tc>
      </w:tr>
      <w:tr>
        <w:trPr>
          <w:trHeight w:val="243"/>
        </w:trPr>
        <w:tc>
          <w:tcPr>
            <w:tcW w:w="7320" w:type="dxa"/>
            <w:vAlign w:val="bottom"/>
          </w:tcPr>
          <w:p>
            <w:pPr>
              <w:ind w:left="20"/>
              <w:spacing w:after="0"/>
              <w:rPr>
                <w:sz w:val="20"/>
                <w:szCs w:val="20"/>
                <w:color w:val="auto"/>
              </w:rPr>
            </w:pPr>
            <w:r>
              <w:rPr>
                <w:rFonts w:ascii="Arial" w:cs="Arial" w:eastAsia="Arial" w:hAnsi="Arial"/>
                <w:sz w:val="16"/>
                <w:szCs w:val="16"/>
                <w:color w:val="auto"/>
              </w:rPr>
              <w:t>Capitalized cloud computing arrangement implementation costs</w:t>
            </w:r>
            <w:r>
              <w:rPr>
                <w:rFonts w:ascii="Arial" w:cs="Arial" w:eastAsia="Arial" w:hAnsi="Arial"/>
                <w:sz w:val="21"/>
                <w:szCs w:val="21"/>
                <w:color w:val="auto"/>
                <w:vertAlign w:val="superscript"/>
              </w:rPr>
              <w:t>(2)</w:t>
            </w: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200" w:type="dxa"/>
            <w:vAlign w:val="bottom"/>
            <w:tcBorders>
              <w:bottom w:val="single" w:sz="8" w:color="auto"/>
            </w:tcBorders>
            <w:shd w:val="clear" w:color="auto" w:fill="E4E4E4"/>
          </w:tcPr>
          <w:p>
            <w:pPr>
              <w:spacing w:after="0"/>
              <w:rPr>
                <w:sz w:val="21"/>
                <w:szCs w:val="21"/>
                <w:color w:val="auto"/>
              </w:rPr>
            </w:pPr>
          </w:p>
        </w:tc>
        <w:tc>
          <w:tcPr>
            <w:tcW w:w="17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112</w:t>
            </w:r>
          </w:p>
        </w:tc>
        <w:tc>
          <w:tcPr>
            <w:tcW w:w="220" w:type="dxa"/>
            <w:vAlign w:val="bottom"/>
            <w:tcBorders>
              <w:bottom w:val="single" w:sz="8" w:color="auto"/>
            </w:tcBorders>
            <w:shd w:val="clear" w:color="auto" w:fill="E4E4E4"/>
          </w:tcPr>
          <w:p>
            <w:pPr>
              <w:spacing w:after="0"/>
              <w:rPr>
                <w:sz w:val="21"/>
                <w:szCs w:val="21"/>
                <w:color w:val="auto"/>
              </w:rPr>
            </w:pPr>
          </w:p>
        </w:tc>
        <w:tc>
          <w:tcPr>
            <w:tcW w:w="17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142</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assets</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Pr>
          <w:p>
            <w:pPr>
              <w:jc w:val="right"/>
              <w:spacing w:after="0"/>
              <w:rPr>
                <w:sz w:val="20"/>
                <w:szCs w:val="20"/>
                <w:color w:val="auto"/>
              </w:rPr>
            </w:pPr>
            <w:r>
              <w:rPr>
                <w:rFonts w:ascii="Arial" w:cs="Arial" w:eastAsia="Arial" w:hAnsi="Arial"/>
                <w:sz w:val="16"/>
                <w:szCs w:val="16"/>
                <w:b w:val="1"/>
                <w:bCs w:val="1"/>
                <w:color w:val="auto"/>
              </w:rPr>
              <w:t>2,205</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1,950</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right="860" w:hanging="252"/>
        <w:spacing w:after="0" w:line="256" w:lineRule="auto"/>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13, “Financial Instruments and Fair Value Measurements” for further information.</w:t>
      </w:r>
    </w:p>
    <w:p>
      <w:pPr>
        <w:spacing w:after="0" w:line="1" w:lineRule="exact"/>
        <w:rPr>
          <w:rFonts w:ascii="Arial" w:cs="Arial" w:eastAsia="Arial" w:hAnsi="Arial"/>
          <w:sz w:val="16"/>
          <w:szCs w:val="16"/>
          <w:color w:val="auto"/>
        </w:rPr>
      </w:pPr>
    </w:p>
    <w:p>
      <w:pPr>
        <w:ind w:left="260" w:hanging="252"/>
        <w:spacing w:after="0" w:line="228" w:lineRule="auto"/>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See the supplemental table “Capitalized Cloud Computing Arrangement Implementation Costs” for further information.</w:t>
      </w:r>
    </w:p>
    <w:p>
      <w:pPr>
        <w:ind w:left="260" w:hanging="252"/>
        <w:spacing w:after="0"/>
        <w:tabs>
          <w:tab w:leader="none" w:pos="2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Other primarily consists of indemnity assets associated with separation agreements with GE, and tax receivables.</w:t>
      </w:r>
    </w:p>
    <w:p>
      <w:pPr>
        <w:sectPr>
          <w:pgSz w:w="11900" w:h="16838" w:orient="portrait"/>
          <w:cols w:equalWidth="0" w:num="1">
            <w:col w:w="11240"/>
          </w:cols>
          <w:pgMar w:left="320" w:top="130" w:right="339" w:bottom="3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376" w:gutter="0" w:footer="0" w:header="0"/>
          <w:type w:val="continuous"/>
        </w:sectPr>
      </w:pPr>
    </w:p>
    <w:bookmarkStart w:id="100" w:name="page101"/>
    <w:bookmarkEnd w:id="100"/>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18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4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180" w:type="dxa"/>
            <w:vAlign w:val="bottom"/>
            <w:tcBorders>
              <w:bottom w:val="single" w:sz="8" w:color="454545"/>
            </w:tcBorders>
          </w:tcPr>
          <w:p>
            <w:pPr>
              <w:spacing w:after="0" w:line="20" w:lineRule="exact"/>
              <w:rPr>
                <w:sz w:val="1"/>
                <w:szCs w:val="1"/>
                <w:color w:val="auto"/>
              </w:rPr>
            </w:pPr>
          </w:p>
        </w:tc>
        <w:tc>
          <w:tcPr>
            <w:tcW w:w="1760" w:type="dxa"/>
            <w:vAlign w:val="bottom"/>
            <w:tcBorders>
              <w:bottom w:val="single" w:sz="8" w:color="454545"/>
            </w:tcBorders>
          </w:tcPr>
          <w:p>
            <w:pPr>
              <w:spacing w:after="0" w:line="20" w:lineRule="exact"/>
              <w:rPr>
                <w:sz w:val="1"/>
                <w:szCs w:val="1"/>
                <w:color w:val="auto"/>
              </w:rPr>
            </w:pPr>
          </w:p>
        </w:tc>
        <w:tc>
          <w:tcPr>
            <w:tcW w:w="240" w:type="dxa"/>
            <w:vAlign w:val="bottom"/>
            <w:tcBorders>
              <w:bottom w:val="single" w:sz="8" w:color="454545"/>
            </w:tcBorders>
          </w:tcPr>
          <w:p>
            <w:pPr>
              <w:spacing w:after="0" w:line="20" w:lineRule="exact"/>
              <w:rPr>
                <w:sz w:val="1"/>
                <w:szCs w:val="1"/>
                <w:color w:val="auto"/>
              </w:rPr>
            </w:pPr>
          </w:p>
        </w:tc>
        <w:tc>
          <w:tcPr>
            <w:tcW w:w="174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180" w:type="dxa"/>
            <w:vAlign w:val="bottom"/>
            <w:tcBorders>
              <w:bottom w:val="single" w:sz="8" w:color="6400A0"/>
            </w:tcBorders>
          </w:tcPr>
          <w:p>
            <w:pPr>
              <w:spacing w:after="0"/>
              <w:rPr>
                <w:sz w:val="19"/>
                <w:szCs w:val="19"/>
                <w:color w:val="auto"/>
              </w:rPr>
            </w:pPr>
          </w:p>
        </w:tc>
        <w:tc>
          <w:tcPr>
            <w:tcW w:w="1760" w:type="dxa"/>
            <w:vAlign w:val="bottom"/>
            <w:tcBorders>
              <w:bottom w:val="single" w:sz="8" w:color="6400A0"/>
            </w:tcBorders>
          </w:tcPr>
          <w:p>
            <w:pPr>
              <w:jc w:val="right"/>
              <w:ind w:right="139"/>
              <w:spacing w:after="0"/>
              <w:rPr>
                <w:sz w:val="20"/>
                <w:szCs w:val="20"/>
                <w:color w:val="auto"/>
              </w:rPr>
            </w:pPr>
            <w:r>
              <w:rPr>
                <w:rFonts w:ascii="Arial" w:cs="Arial" w:eastAsia="Arial" w:hAnsi="Arial"/>
                <w:sz w:val="16"/>
                <w:szCs w:val="16"/>
                <w:b w:val="1"/>
                <w:bCs w:val="1"/>
                <w:color w:val="454545"/>
              </w:rPr>
              <w:t>December 31, 2025</w:t>
            </w:r>
          </w:p>
        </w:tc>
        <w:tc>
          <w:tcPr>
            <w:tcW w:w="240" w:type="dxa"/>
            <w:vAlign w:val="bottom"/>
            <w:tcBorders>
              <w:bottom w:val="single" w:sz="8" w:color="6400A0"/>
            </w:tcBorders>
          </w:tcPr>
          <w:p>
            <w:pPr>
              <w:spacing w:after="0"/>
              <w:rPr>
                <w:sz w:val="19"/>
                <w:szCs w:val="19"/>
                <w:color w:val="auto"/>
              </w:rPr>
            </w:pPr>
          </w:p>
        </w:tc>
        <w:tc>
          <w:tcPr>
            <w:tcW w:w="1740" w:type="dxa"/>
            <w:vAlign w:val="bottom"/>
            <w:tcBorders>
              <w:bottom w:val="single" w:sz="8" w:color="6400A0"/>
            </w:tcBorders>
          </w:tcPr>
          <w:p>
            <w:pPr>
              <w:jc w:val="right"/>
              <w:ind w:right="17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1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256</w:t>
            </w:r>
          </w:p>
        </w:tc>
        <w:tc>
          <w:tcPr>
            <w:tcW w:w="240" w:type="dxa"/>
            <w:vAlign w:val="bottom"/>
            <w:tcBorders>
              <w:bottom w:val="single" w:sz="8" w:color="E4E4E4"/>
            </w:tcBorders>
            <w:shd w:val="clear" w:color="auto" w:fill="E4E4E4"/>
          </w:tcPr>
          <w:p>
            <w:pPr>
              <w:jc w:val="right"/>
              <w:ind w:right="1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242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324</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Product warranties</w:t>
            </w:r>
          </w:p>
        </w:tc>
        <w:tc>
          <w:tcPr>
            <w:tcW w:w="18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169</w:t>
            </w:r>
          </w:p>
        </w:tc>
        <w:tc>
          <w:tcPr>
            <w:tcW w:w="24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168</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Accrued logistics and utilities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197</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163</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134</w:t>
            </w:r>
          </w:p>
        </w:tc>
        <w:tc>
          <w:tcPr>
            <w:tcW w:w="24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115</w:t>
            </w:r>
          </w:p>
        </w:tc>
      </w:tr>
      <w:tr>
        <w:trPr>
          <w:trHeight w:val="243"/>
        </w:trPr>
        <w:tc>
          <w:tcPr>
            <w:tcW w:w="7320" w:type="dxa"/>
            <w:vAlign w:val="bottom"/>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(1)</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47</w:t>
            </w:r>
          </w:p>
        </w:tc>
        <w:tc>
          <w:tcPr>
            <w:tcW w:w="24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Interest payable on borrowings</w:t>
            </w:r>
          </w:p>
        </w:tc>
        <w:tc>
          <w:tcPr>
            <w:tcW w:w="180" w:type="dxa"/>
            <w:vAlign w:val="bottom"/>
            <w:tcBorders>
              <w:bottom w:val="single" w:sz="8" w:color="E4E4E4"/>
            </w:tcBorders>
            <w:shd w:val="clear" w:color="auto" w:fill="E4E4E4"/>
          </w:tcPr>
          <w:p>
            <w:pPr>
              <w:spacing w:after="0"/>
              <w:rPr>
                <w:sz w:val="19"/>
                <w:szCs w:val="19"/>
                <w:color w:val="auto"/>
              </w:rPr>
            </w:pPr>
          </w:p>
        </w:tc>
        <w:tc>
          <w:tcPr>
            <w:tcW w:w="1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100</w:t>
            </w:r>
          </w:p>
        </w:tc>
        <w:tc>
          <w:tcPr>
            <w:tcW w:w="240" w:type="dxa"/>
            <w:vAlign w:val="bottom"/>
            <w:tcBorders>
              <w:bottom w:val="single" w:sz="8" w:color="E4E4E4"/>
            </w:tcBorders>
            <w:shd w:val="clear" w:color="auto" w:fill="E4E4E4"/>
          </w:tcPr>
          <w:p>
            <w:pPr>
              <w:spacing w:after="0"/>
              <w:rPr>
                <w:sz w:val="19"/>
                <w:szCs w:val="19"/>
                <w:color w:val="auto"/>
              </w:rPr>
            </w:pPr>
          </w:p>
        </w:tc>
        <w:tc>
          <w:tcPr>
            <w:tcW w:w="17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92</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Environmental and asset retirement obligations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w:t>
            </w: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w:t>
            </w:r>
          </w:p>
        </w:tc>
      </w:tr>
      <w:tr>
        <w:trPr>
          <w:trHeight w:val="28"/>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E4E4E4"/>
          </w:tcPr>
          <w:p>
            <w:pPr>
              <w:spacing w:after="0"/>
              <w:rPr>
                <w:sz w:val="21"/>
                <w:szCs w:val="21"/>
                <w:color w:val="auto"/>
              </w:rPr>
            </w:pPr>
          </w:p>
        </w:tc>
        <w:tc>
          <w:tcPr>
            <w:tcW w:w="176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348</w:t>
            </w:r>
          </w:p>
        </w:tc>
        <w:tc>
          <w:tcPr>
            <w:tcW w:w="240" w:type="dxa"/>
            <w:vAlign w:val="bottom"/>
            <w:tcBorders>
              <w:bottom w:val="single" w:sz="8" w:color="auto"/>
            </w:tcBorders>
            <w:shd w:val="clear" w:color="auto" w:fill="E4E4E4"/>
          </w:tcPr>
          <w:p>
            <w:pPr>
              <w:spacing w:after="0"/>
              <w:rPr>
                <w:sz w:val="21"/>
                <w:szCs w:val="21"/>
                <w:color w:val="auto"/>
              </w:rPr>
            </w:pPr>
          </w:p>
        </w:tc>
        <w:tc>
          <w:tcPr>
            <w:tcW w:w="17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386</w:t>
            </w:r>
          </w:p>
        </w:tc>
      </w:tr>
      <w:tr>
        <w:trPr>
          <w:trHeight w:val="21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current liabilities</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spacing w:after="0"/>
              <w:rPr>
                <w:sz w:val="20"/>
                <w:szCs w:val="20"/>
                <w:color w:val="auto"/>
              </w:rPr>
            </w:pPr>
            <w:r>
              <w:rPr>
                <w:rFonts w:ascii="Arial" w:cs="Arial" w:eastAsia="Arial" w:hAnsi="Arial"/>
                <w:sz w:val="16"/>
                <w:szCs w:val="16"/>
                <w:b w:val="1"/>
                <w:bCs w:val="1"/>
                <w:color w:val="auto"/>
              </w:rPr>
              <w:t>1,587</w:t>
            </w:r>
          </w:p>
        </w:tc>
        <w:tc>
          <w:tcPr>
            <w:tcW w:w="24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1,552</w:t>
            </w:r>
          </w:p>
        </w:tc>
      </w:tr>
      <w:tr>
        <w:trPr>
          <w:trHeight w:val="20"/>
        </w:trPr>
        <w:tc>
          <w:tcPr>
            <w:tcW w:w="7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860" w:firstLine="8"/>
        <w:spacing w:after="0" w:line="263" w:lineRule="auto"/>
        <w:tabs>
          <w:tab w:leader="none" w:pos="243"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13, “Financial Instruments and Fair Value Measurements” for further information.</w:t>
      </w:r>
    </w:p>
    <w:p>
      <w:pPr>
        <w:ind w:left="260" w:hanging="252"/>
        <w:spacing w:after="0"/>
        <w:tabs>
          <w:tab w:leader="none" w:pos="2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Other primarily consists of miscellaneous accrued costs, dividends payable, and contingent consideration liabilities.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320" w:type="dxa"/>
            <w:vAlign w:val="bottom"/>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200" w:type="dxa"/>
            <w:vAlign w:val="bottom"/>
          </w:tcPr>
          <w:p>
            <w:pPr>
              <w:spacing w:after="0"/>
              <w:rPr>
                <w:sz w:val="20"/>
                <w:szCs w:val="20"/>
                <w:color w:val="auto"/>
              </w:rPr>
            </w:pPr>
          </w:p>
        </w:tc>
        <w:tc>
          <w:tcPr>
            <w:tcW w:w="2000" w:type="dxa"/>
            <w:vAlign w:val="bottom"/>
            <w:gridSpan w:val="2"/>
          </w:tcPr>
          <w:p>
            <w:pPr>
              <w:jc w:val="right"/>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0"/>
                <w:szCs w:val="20"/>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80" w:type="dxa"/>
            <w:vAlign w:val="bottom"/>
            <w:tcBorders>
              <w:bottom w:val="single" w:sz="8" w:color="454545"/>
            </w:tcBorders>
          </w:tcPr>
          <w:p>
            <w:pPr>
              <w:spacing w:after="0" w:line="20" w:lineRule="exact"/>
              <w:rPr>
                <w:sz w:val="1"/>
                <w:szCs w:val="1"/>
                <w:color w:val="auto"/>
              </w:rPr>
            </w:pPr>
          </w:p>
        </w:tc>
        <w:tc>
          <w:tcPr>
            <w:tcW w:w="22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022A6"/>
            </w:tcBorders>
          </w:tcPr>
          <w:p>
            <w:pPr>
              <w:spacing w:after="0"/>
              <w:rPr>
                <w:sz w:val="19"/>
                <w:szCs w:val="19"/>
                <w:color w:val="auto"/>
              </w:rPr>
            </w:pPr>
          </w:p>
        </w:tc>
        <w:tc>
          <w:tcPr>
            <w:tcW w:w="200" w:type="dxa"/>
            <w:vAlign w:val="bottom"/>
            <w:tcBorders>
              <w:bottom w:val="single" w:sz="8" w:color="6022A6"/>
            </w:tcBorders>
          </w:tcPr>
          <w:p>
            <w:pPr>
              <w:spacing w:after="0"/>
              <w:rPr>
                <w:sz w:val="19"/>
                <w:szCs w:val="19"/>
                <w:color w:val="auto"/>
              </w:rPr>
            </w:pPr>
          </w:p>
        </w:tc>
        <w:tc>
          <w:tcPr>
            <w:tcW w:w="178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2025</w:t>
            </w:r>
          </w:p>
        </w:tc>
        <w:tc>
          <w:tcPr>
            <w:tcW w:w="220" w:type="dxa"/>
            <w:vAlign w:val="bottom"/>
            <w:tcBorders>
              <w:bottom w:val="single" w:sz="8" w:color="6022A6"/>
            </w:tcBorders>
          </w:tcPr>
          <w:p>
            <w:pPr>
              <w:spacing w:after="0"/>
              <w:rPr>
                <w:sz w:val="19"/>
                <w:szCs w:val="19"/>
                <w:color w:val="auto"/>
              </w:rPr>
            </w:pPr>
          </w:p>
        </w:tc>
        <w:tc>
          <w:tcPr>
            <w:tcW w:w="172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Contract liabilities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803</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686</w:t>
            </w:r>
          </w:p>
        </w:tc>
      </w:tr>
      <w:tr>
        <w:trPr>
          <w:trHeight w:val="222"/>
        </w:trPr>
        <w:tc>
          <w:tcPr>
            <w:tcW w:w="732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284</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270</w:t>
            </w:r>
          </w:p>
        </w:tc>
      </w:tr>
      <w:tr>
        <w:trPr>
          <w:trHeight w:val="250"/>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Environmental and asset retirement obligations</w:t>
            </w:r>
            <w:r>
              <w:rPr>
                <w:rFonts w:ascii="Arial" w:cs="Arial" w:eastAsia="Arial" w:hAnsi="Arial"/>
                <w:sz w:val="21"/>
                <w:szCs w:val="21"/>
                <w:color w:val="auto"/>
                <w:vertAlign w:val="superscript"/>
              </w:rPr>
              <w:t>(1)</w:t>
            </w:r>
          </w:p>
        </w:tc>
        <w:tc>
          <w:tcPr>
            <w:tcW w:w="200" w:type="dxa"/>
            <w:vAlign w:val="bottom"/>
            <w:shd w:val="clear" w:color="auto" w:fill="E4E4E4"/>
          </w:tcPr>
          <w:p>
            <w:pPr>
              <w:spacing w:after="0"/>
              <w:rPr>
                <w:sz w:val="21"/>
                <w:szCs w:val="21"/>
                <w:color w:val="auto"/>
              </w:rPr>
            </w:pPr>
          </w:p>
        </w:tc>
        <w:tc>
          <w:tcPr>
            <w:tcW w:w="1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413</w:t>
            </w:r>
          </w:p>
        </w:tc>
        <w:tc>
          <w:tcPr>
            <w:tcW w:w="220" w:type="dxa"/>
            <w:vAlign w:val="bottom"/>
            <w:shd w:val="clear" w:color="auto" w:fill="E4E4E4"/>
          </w:tcPr>
          <w:p>
            <w:pPr>
              <w:spacing w:after="0"/>
              <w:rPr>
                <w:sz w:val="21"/>
                <w:szCs w:val="21"/>
                <w:color w:val="auto"/>
              </w:rPr>
            </w:pPr>
          </w:p>
        </w:tc>
        <w:tc>
          <w:tcPr>
            <w:tcW w:w="1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291</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Income and indirect tax liabilities including uncertain tax positions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156</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43"/>
        </w:trPr>
        <w:tc>
          <w:tcPr>
            <w:tcW w:w="7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Derivative instruments</w:t>
            </w:r>
            <w:r>
              <w:rPr>
                <w:rFonts w:ascii="Arial" w:cs="Arial" w:eastAsia="Arial" w:hAnsi="Arial"/>
                <w:sz w:val="21"/>
                <w:szCs w:val="21"/>
                <w:color w:val="auto"/>
                <w:vertAlign w:val="superscript"/>
              </w:rPr>
              <w:t>(2)</w:t>
            </w:r>
          </w:p>
        </w:tc>
        <w:tc>
          <w:tcPr>
            <w:tcW w:w="200" w:type="dxa"/>
            <w:vAlign w:val="bottom"/>
            <w:shd w:val="clear" w:color="auto" w:fill="E4E4E4"/>
          </w:tcPr>
          <w:p>
            <w:pPr>
              <w:spacing w:after="0"/>
              <w:rPr>
                <w:sz w:val="21"/>
                <w:szCs w:val="21"/>
                <w:color w:val="auto"/>
              </w:rPr>
            </w:pPr>
          </w:p>
        </w:tc>
        <w:tc>
          <w:tcPr>
            <w:tcW w:w="17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160</w:t>
            </w:r>
          </w:p>
        </w:tc>
        <w:tc>
          <w:tcPr>
            <w:tcW w:w="220" w:type="dxa"/>
            <w:vAlign w:val="bottom"/>
            <w:shd w:val="clear" w:color="auto" w:fill="E4E4E4"/>
          </w:tcPr>
          <w:p>
            <w:pPr>
              <w:spacing w:after="0"/>
              <w:rPr>
                <w:sz w:val="21"/>
                <w:szCs w:val="21"/>
                <w:color w:val="auto"/>
              </w:rPr>
            </w:pPr>
          </w:p>
        </w:tc>
        <w:tc>
          <w:tcPr>
            <w:tcW w:w="17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64</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Finance lease obligations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42</w:t>
            </w: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8"/>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Sales allowances and related liabilities</w:t>
            </w:r>
          </w:p>
        </w:tc>
        <w:tc>
          <w:tcPr>
            <w:tcW w:w="200" w:type="dxa"/>
            <w:vAlign w:val="bottom"/>
            <w:tcBorders>
              <w:bottom w:val="single" w:sz="8" w:color="E4E4E4"/>
            </w:tcBorders>
            <w:shd w:val="clear" w:color="auto" w:fill="E4E4E4"/>
          </w:tcPr>
          <w:p>
            <w:pPr>
              <w:spacing w:after="0"/>
              <w:rPr>
                <w:sz w:val="19"/>
                <w:szCs w:val="19"/>
                <w:color w:val="auto"/>
              </w:rPr>
            </w:pP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E4E4E4"/>
            </w:tcBorders>
            <w:shd w:val="clear" w:color="auto" w:fill="E4E4E4"/>
          </w:tcPr>
          <w:p>
            <w:pPr>
              <w:spacing w:after="0"/>
              <w:rPr>
                <w:sz w:val="19"/>
                <w:szCs w:val="19"/>
                <w:color w:val="auto"/>
              </w:rPr>
            </w:pP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23</w:t>
            </w:r>
          </w:p>
        </w:tc>
      </w:tr>
      <w:tr>
        <w:trPr>
          <w:trHeight w:val="243"/>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(3)</w:t>
            </w:r>
          </w:p>
        </w:tc>
        <w:tc>
          <w:tcPr>
            <w:tcW w:w="2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r>
      <w:tr>
        <w:trPr>
          <w:trHeight w:val="217"/>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All other non-current liabilities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8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2,061</w:t>
            </w:r>
          </w:p>
        </w:tc>
        <w:tc>
          <w:tcPr>
            <w:tcW w:w="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1,796</w:t>
            </w:r>
          </w:p>
        </w:tc>
      </w:tr>
      <w:tr>
        <w:trPr>
          <w:trHeight w:val="20"/>
        </w:trPr>
        <w:tc>
          <w:tcPr>
            <w:tcW w:w="7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1000" w:hanging="252"/>
        <w:spacing w:after="0" w:line="256" w:lineRule="auto"/>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Refer to Note 14, “Commitments, Guarantees, Product Warranties, and Other Loss Contingencies” for further information on the increase in Environmental and asset retirement obligations.</w:t>
      </w:r>
    </w:p>
    <w:p>
      <w:pPr>
        <w:spacing w:after="0" w:line="1" w:lineRule="exact"/>
        <w:rPr>
          <w:rFonts w:ascii="Arial" w:cs="Arial" w:eastAsia="Arial" w:hAnsi="Arial"/>
          <w:sz w:val="16"/>
          <w:szCs w:val="16"/>
          <w:color w:val="auto"/>
        </w:rPr>
      </w:pPr>
    </w:p>
    <w:p>
      <w:pPr>
        <w:ind w:left="260" w:right="860" w:hanging="252"/>
        <w:spacing w:after="0" w:line="255" w:lineRule="auto"/>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Derivative instruments include the related accrued interest. Refer to Note 13, “Financial Instruments and Fair Value Measurements” for further information.</w:t>
      </w:r>
    </w:p>
    <w:p>
      <w:pPr>
        <w:ind w:left="260" w:right="940" w:hanging="252"/>
        <w:spacing w:after="0" w:line="283" w:lineRule="auto"/>
        <w:tabs>
          <w:tab w:leader="none" w:pos="2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Other primarily consists of miscellaneous accrued costs, indemnity liabilities associated with separation agreements with GE, and contingent consideration liabilities.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320" w:type="dxa"/>
            <w:vAlign w:val="bottom"/>
          </w:tcPr>
          <w:p>
            <w:pPr>
              <w:spacing w:after="0"/>
              <w:rPr>
                <w:sz w:val="20"/>
                <w:szCs w:val="20"/>
                <w:color w:val="auto"/>
              </w:rPr>
            </w:pPr>
            <w:r>
              <w:rPr>
                <w:rFonts w:ascii="Arial" w:cs="Arial" w:eastAsia="Arial" w:hAnsi="Arial"/>
                <w:sz w:val="16"/>
                <w:szCs w:val="16"/>
                <w:b w:val="1"/>
                <w:bCs w:val="1"/>
                <w:color w:val="auto"/>
              </w:rPr>
              <w:t>CAPITALIZED CLOUD COMPUTING ARRANGEMENT IMPLEMENTATION COSTS.</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43"/>
        </w:trPr>
        <w:tc>
          <w:tcPr>
            <w:tcW w:w="7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0" w:type="dxa"/>
            <w:vAlign w:val="bottom"/>
            <w:gridSpan w:val="2"/>
          </w:tcPr>
          <w:p>
            <w:pPr>
              <w:ind w:left="1560"/>
              <w:spacing w:after="0"/>
              <w:rPr>
                <w:sz w:val="20"/>
                <w:szCs w:val="20"/>
                <w:color w:val="auto"/>
              </w:rPr>
            </w:pPr>
            <w:r>
              <w:rPr>
                <w:rFonts w:ascii="Arial" w:cs="Arial" w:eastAsia="Arial" w:hAnsi="Arial"/>
                <w:sz w:val="16"/>
                <w:szCs w:val="16"/>
                <w:b w:val="1"/>
                <w:bCs w:val="1"/>
                <w:color w:val="454545"/>
              </w:rPr>
              <w:t>As of</w:t>
            </w:r>
          </w:p>
        </w:tc>
        <w:tc>
          <w:tcPr>
            <w:tcW w:w="1720" w:type="dxa"/>
            <w:vAlign w:val="bottom"/>
          </w:tcPr>
          <w:p>
            <w:pPr>
              <w:spacing w:after="0"/>
              <w:rPr>
                <w:sz w:val="21"/>
                <w:szCs w:val="21"/>
                <w:color w:val="auto"/>
              </w:rPr>
            </w:pPr>
          </w:p>
        </w:tc>
      </w:tr>
      <w:tr>
        <w:trPr>
          <w:trHeight w:val="21"/>
        </w:trPr>
        <w:tc>
          <w:tcPr>
            <w:tcW w:w="7320" w:type="dxa"/>
            <w:vAlign w:val="bottom"/>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800" w:type="dxa"/>
            <w:vAlign w:val="bottom"/>
            <w:tcBorders>
              <w:bottom w:val="single" w:sz="8" w:color="454545"/>
            </w:tcBorders>
          </w:tcPr>
          <w:p>
            <w:pPr>
              <w:spacing w:after="0" w:line="20" w:lineRule="exact"/>
              <w:rPr>
                <w:sz w:val="1"/>
                <w:szCs w:val="1"/>
                <w:color w:val="auto"/>
              </w:rPr>
            </w:pPr>
          </w:p>
        </w:tc>
        <w:tc>
          <w:tcPr>
            <w:tcW w:w="200" w:type="dxa"/>
            <w:vAlign w:val="bottom"/>
            <w:tcBorders>
              <w:bottom w:val="single" w:sz="8" w:color="454545"/>
            </w:tcBorders>
          </w:tcPr>
          <w:p>
            <w:pPr>
              <w:spacing w:after="0" w:line="20" w:lineRule="exact"/>
              <w:rPr>
                <w:sz w:val="1"/>
                <w:szCs w:val="1"/>
                <w:color w:val="auto"/>
              </w:rPr>
            </w:pPr>
          </w:p>
        </w:tc>
        <w:tc>
          <w:tcPr>
            <w:tcW w:w="1720" w:type="dxa"/>
            <w:vAlign w:val="bottom"/>
            <w:tcBorders>
              <w:bottom w:val="single" w:sz="8" w:color="454545"/>
            </w:tcBorders>
          </w:tcPr>
          <w:p>
            <w:pPr>
              <w:spacing w:after="0" w:line="20" w:lineRule="exact"/>
              <w:rPr>
                <w:sz w:val="1"/>
                <w:szCs w:val="1"/>
                <w:color w:val="auto"/>
              </w:rPr>
            </w:pPr>
          </w:p>
        </w:tc>
      </w:tr>
      <w:tr>
        <w:trPr>
          <w:trHeight w:val="220"/>
        </w:trPr>
        <w:tc>
          <w:tcPr>
            <w:tcW w:w="7320" w:type="dxa"/>
            <w:vAlign w:val="bottom"/>
            <w:tcBorders>
              <w:bottom w:val="single" w:sz="8" w:color="6400A0"/>
            </w:tcBorders>
          </w:tcPr>
          <w:p>
            <w:pPr>
              <w:spacing w:after="0"/>
              <w:rPr>
                <w:sz w:val="19"/>
                <w:szCs w:val="19"/>
                <w:color w:val="auto"/>
              </w:rPr>
            </w:pPr>
          </w:p>
        </w:tc>
        <w:tc>
          <w:tcPr>
            <w:tcW w:w="200" w:type="dxa"/>
            <w:vAlign w:val="bottom"/>
            <w:tcBorders>
              <w:bottom w:val="single" w:sz="8" w:color="6022A6"/>
            </w:tcBorders>
          </w:tcPr>
          <w:p>
            <w:pPr>
              <w:spacing w:after="0"/>
              <w:rPr>
                <w:sz w:val="19"/>
                <w:szCs w:val="19"/>
                <w:color w:val="auto"/>
              </w:rPr>
            </w:pPr>
          </w:p>
        </w:tc>
        <w:tc>
          <w:tcPr>
            <w:tcW w:w="1800" w:type="dxa"/>
            <w:vAlign w:val="bottom"/>
            <w:tcBorders>
              <w:bottom w:val="single" w:sz="8" w:color="6022A6"/>
            </w:tcBorders>
          </w:tcPr>
          <w:p>
            <w:pPr>
              <w:ind w:left="80"/>
              <w:spacing w:after="0"/>
              <w:rPr>
                <w:sz w:val="20"/>
                <w:szCs w:val="20"/>
                <w:color w:val="auto"/>
              </w:rPr>
            </w:pPr>
            <w:r>
              <w:rPr>
                <w:rFonts w:ascii="Arial" w:cs="Arial" w:eastAsia="Arial" w:hAnsi="Arial"/>
                <w:sz w:val="16"/>
                <w:szCs w:val="16"/>
                <w:b w:val="1"/>
                <w:bCs w:val="1"/>
                <w:color w:val="454545"/>
              </w:rPr>
              <w:t>December 31, 2025</w:t>
            </w:r>
          </w:p>
        </w:tc>
        <w:tc>
          <w:tcPr>
            <w:tcW w:w="200" w:type="dxa"/>
            <w:vAlign w:val="bottom"/>
            <w:tcBorders>
              <w:bottom w:val="single" w:sz="8" w:color="6022A6"/>
            </w:tcBorders>
          </w:tcPr>
          <w:p>
            <w:pPr>
              <w:spacing w:after="0"/>
              <w:rPr>
                <w:sz w:val="19"/>
                <w:szCs w:val="19"/>
                <w:color w:val="auto"/>
              </w:rPr>
            </w:pPr>
          </w:p>
        </w:tc>
        <w:tc>
          <w:tcPr>
            <w:tcW w:w="1720" w:type="dxa"/>
            <w:vAlign w:val="bottom"/>
            <w:tcBorders>
              <w:bottom w:val="single" w:sz="8" w:color="6022A6"/>
            </w:tcBorders>
          </w:tcPr>
          <w:p>
            <w:pPr>
              <w:jc w:val="right"/>
              <w:ind w:right="159"/>
              <w:spacing w:after="0"/>
              <w:rPr>
                <w:sz w:val="20"/>
                <w:szCs w:val="20"/>
                <w:color w:val="auto"/>
              </w:rPr>
            </w:pPr>
            <w:r>
              <w:rPr>
                <w:rFonts w:ascii="Arial" w:cs="Arial" w:eastAsia="Arial" w:hAnsi="Arial"/>
                <w:sz w:val="16"/>
                <w:szCs w:val="16"/>
                <w:b w:val="1"/>
                <w:bCs w:val="1"/>
                <w:color w:val="454545"/>
              </w:rPr>
              <w:t>December 31, 2024</w:t>
            </w:r>
          </w:p>
        </w:tc>
      </w:tr>
      <w:tr>
        <w:trPr>
          <w:trHeight w:val="220"/>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Capitalized implementation costs</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E4E4E4"/>
            </w:tcBorders>
            <w:shd w:val="clear" w:color="auto" w:fill="E4E4E4"/>
          </w:tcPr>
          <w:p>
            <w:pPr>
              <w:ind w:left="1460"/>
              <w:spacing w:after="0"/>
              <w:rPr>
                <w:sz w:val="20"/>
                <w:szCs w:val="20"/>
                <w:color w:val="auto"/>
              </w:rPr>
            </w:pPr>
            <w:r>
              <w:rPr>
                <w:rFonts w:ascii="Arial" w:cs="Arial" w:eastAsia="Arial" w:hAnsi="Arial"/>
                <w:sz w:val="16"/>
                <w:szCs w:val="16"/>
                <w:color w:val="auto"/>
              </w:rPr>
              <w:t>249</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114</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Accumulated amortization</w:t>
            </w:r>
          </w:p>
        </w:tc>
        <w:tc>
          <w:tcPr>
            <w:tcW w:w="200" w:type="dxa"/>
            <w:vAlign w:val="bottom"/>
          </w:tcPr>
          <w:p>
            <w:pPr>
              <w:spacing w:after="0"/>
              <w:rPr>
                <w:sz w:val="18"/>
                <w:szCs w:val="18"/>
                <w:color w:val="auto"/>
              </w:rPr>
            </w:pPr>
          </w:p>
        </w:tc>
        <w:tc>
          <w:tcPr>
            <w:tcW w:w="1800" w:type="dxa"/>
            <w:vAlign w:val="bottom"/>
          </w:tcPr>
          <w:p>
            <w:pPr>
              <w:ind w:left="1480"/>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8"/>
        </w:trPr>
        <w:tc>
          <w:tcPr>
            <w:tcW w:w="7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6"/>
        </w:trPr>
        <w:tc>
          <w:tcPr>
            <w:tcW w:w="732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 Capitalized cloud computing arrangement implementation costs, net</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800" w:type="dxa"/>
            <w:vAlign w:val="bottom"/>
            <w:tcBorders>
              <w:bottom w:val="single" w:sz="8" w:color="E4E4E4"/>
            </w:tcBorders>
            <w:shd w:val="clear" w:color="auto" w:fill="E4E4E4"/>
          </w:tcPr>
          <w:p>
            <w:pPr>
              <w:ind w:left="1460"/>
              <w:spacing w:after="0"/>
              <w:rPr>
                <w:sz w:val="20"/>
                <w:szCs w:val="20"/>
                <w:color w:val="auto"/>
              </w:rPr>
            </w:pPr>
            <w:r>
              <w:rPr>
                <w:rFonts w:ascii="Arial" w:cs="Arial" w:eastAsia="Arial" w:hAnsi="Arial"/>
                <w:sz w:val="16"/>
                <w:szCs w:val="16"/>
                <w:b w:val="1"/>
                <w:bCs w:val="1"/>
                <w:color w:val="auto"/>
              </w:rPr>
              <w:t>200</w:t>
            </w:r>
          </w:p>
        </w:tc>
        <w:tc>
          <w:tcPr>
            <w:tcW w:w="2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84</w:t>
            </w:r>
          </w:p>
        </w:tc>
      </w:tr>
      <w:tr>
        <w:trPr>
          <w:trHeight w:val="20"/>
        </w:trPr>
        <w:tc>
          <w:tcPr>
            <w:tcW w:w="7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Amortization expense related to capitalized cloud computing arrangement implementation costs was $19 million, $10 million, and $7 million for the years ended December 31, 2025, 2024, and 2023, respectively.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40" w:type="dxa"/>
            <w:vAlign w:val="bottom"/>
          </w:tcPr>
          <w:p>
            <w:pPr>
              <w:spacing w:after="0"/>
              <w:rPr>
                <w:sz w:val="20"/>
                <w:szCs w:val="20"/>
                <w:color w:val="auto"/>
              </w:rPr>
            </w:pPr>
            <w:r>
              <w:rPr>
                <w:rFonts w:ascii="Arial" w:cs="Arial" w:eastAsia="Arial" w:hAnsi="Arial"/>
                <w:sz w:val="16"/>
                <w:szCs w:val="16"/>
                <w:b w:val="1"/>
                <w:bCs w:val="1"/>
                <w:color w:val="auto"/>
              </w:rPr>
              <w:t>EQUITY METHOD INVESTMENTS.</w:t>
            </w: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940" w:type="dxa"/>
            <w:vAlign w:val="bottom"/>
            <w:gridSpan w:val="4"/>
          </w:tcPr>
          <w:p>
            <w:pPr>
              <w:ind w:left="40"/>
              <w:spacing w:after="0"/>
              <w:rPr>
                <w:sz w:val="20"/>
                <w:szCs w:val="20"/>
                <w:color w:val="auto"/>
              </w:rPr>
            </w:pPr>
            <w:r>
              <w:rPr>
                <w:rFonts w:ascii="Arial" w:cs="Arial" w:eastAsia="Arial" w:hAnsi="Arial"/>
                <w:sz w:val="16"/>
                <w:szCs w:val="16"/>
                <w:b w:val="1"/>
                <w:bCs w:val="1"/>
                <w:color w:val="454545"/>
              </w:rPr>
              <w:t>Equity method investment balance</w:t>
            </w:r>
          </w:p>
        </w:tc>
        <w:tc>
          <w:tcPr>
            <w:tcW w:w="280" w:type="dxa"/>
            <w:vAlign w:val="bottom"/>
          </w:tcPr>
          <w:p>
            <w:pPr>
              <w:spacing w:after="0"/>
              <w:rPr>
                <w:sz w:val="21"/>
                <w:szCs w:val="21"/>
                <w:color w:val="auto"/>
              </w:rPr>
            </w:pPr>
          </w:p>
        </w:tc>
        <w:tc>
          <w:tcPr>
            <w:tcW w:w="314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454545"/>
              </w:rPr>
              <w:t>Equity method income (loss)</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6"/>
                <w:szCs w:val="16"/>
                <w:b w:val="1"/>
                <w:bCs w:val="1"/>
                <w:color w:val="454545"/>
              </w:rPr>
              <w:t>Ownership</w:t>
            </w:r>
          </w:p>
        </w:tc>
        <w:tc>
          <w:tcPr>
            <w:tcW w:w="320" w:type="dxa"/>
            <w:vAlign w:val="bottom"/>
            <w:tcBorders>
              <w:bottom w:val="single" w:sz="8" w:color="454545"/>
            </w:tcBorders>
          </w:tcPr>
          <w:p>
            <w:pPr>
              <w:spacing w:after="0" w:line="20" w:lineRule="exact"/>
              <w:rPr>
                <w:sz w:val="1"/>
                <w:szCs w:val="1"/>
                <w:color w:val="auto"/>
              </w:rPr>
            </w:pPr>
          </w:p>
        </w:tc>
        <w:tc>
          <w:tcPr>
            <w:tcW w:w="1360" w:type="dxa"/>
            <w:vAlign w:val="bottom"/>
            <w:tcBorders>
              <w:bottom w:val="single" w:sz="8" w:color="454545"/>
            </w:tcBorders>
          </w:tcPr>
          <w:p>
            <w:pPr>
              <w:spacing w:after="0" w:line="20" w:lineRule="exact"/>
              <w:rPr>
                <w:sz w:val="1"/>
                <w:szCs w:val="1"/>
                <w:color w:val="auto"/>
              </w:rPr>
            </w:pPr>
          </w:p>
        </w:tc>
        <w:tc>
          <w:tcPr>
            <w:tcW w:w="1080" w:type="dxa"/>
            <w:vAlign w:val="bottom"/>
            <w:tcBorders>
              <w:bottom w:val="single" w:sz="8" w:color="454545"/>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94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920" w:type="dxa"/>
            <w:vAlign w:val="bottom"/>
            <w:tcBorders>
              <w:bottom w:val="single" w:sz="8" w:color="454545"/>
            </w:tcBorders>
          </w:tcPr>
          <w:p>
            <w:pPr>
              <w:spacing w:after="0" w:line="20" w:lineRule="exact"/>
              <w:rPr>
                <w:sz w:val="1"/>
                <w:szCs w:val="1"/>
                <w:color w:val="auto"/>
              </w:rPr>
            </w:pPr>
          </w:p>
        </w:tc>
        <w:tc>
          <w:tcPr>
            <w:tcW w:w="340" w:type="dxa"/>
            <w:vAlign w:val="bottom"/>
            <w:tcBorders>
              <w:bottom w:val="single" w:sz="8" w:color="454545"/>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8"/>
        </w:trPr>
        <w:tc>
          <w:tcPr>
            <w:tcW w:w="294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940" w:type="dxa"/>
            <w:vAlign w:val="bottom"/>
            <w:tcBorders>
              <w:bottom w:val="single" w:sz="8" w:color="6400A0"/>
            </w:tcBorders>
          </w:tcPr>
          <w:p>
            <w:pPr>
              <w:ind w:left="20"/>
              <w:spacing w:after="0"/>
              <w:rPr>
                <w:sz w:val="20"/>
                <w:szCs w:val="20"/>
                <w:color w:val="auto"/>
              </w:rPr>
            </w:pPr>
            <w:r>
              <w:rPr>
                <w:rFonts w:ascii="Arial" w:cs="Arial" w:eastAsia="Arial" w:hAnsi="Arial"/>
                <w:sz w:val="16"/>
                <w:szCs w:val="16"/>
                <w:b w:val="1"/>
                <w:bCs w:val="1"/>
                <w:color w:val="454545"/>
              </w:rPr>
              <w:t>As of December 31</w:t>
            </w:r>
          </w:p>
        </w:tc>
        <w:tc>
          <w:tcPr>
            <w:tcW w:w="1600" w:type="dxa"/>
            <w:vAlign w:val="bottom"/>
            <w:tcBorders>
              <w:bottom w:val="single" w:sz="8" w:color="6400A0"/>
            </w:tcBorders>
          </w:tcPr>
          <w:p>
            <w:pPr>
              <w:jc w:val="center"/>
              <w:spacing w:after="0"/>
              <w:rPr>
                <w:sz w:val="20"/>
                <w:szCs w:val="20"/>
                <w:color w:val="auto"/>
              </w:rPr>
            </w:pPr>
            <w:r>
              <w:rPr>
                <w:rFonts w:ascii="Arial" w:cs="Arial" w:eastAsia="Arial" w:hAnsi="Arial"/>
                <w:sz w:val="16"/>
                <w:szCs w:val="16"/>
                <w:b w:val="1"/>
                <w:bCs w:val="1"/>
                <w:color w:val="454545"/>
                <w:w w:val="99"/>
              </w:rPr>
              <w:t>Percentage</w:t>
            </w:r>
          </w:p>
        </w:tc>
        <w:tc>
          <w:tcPr>
            <w:tcW w:w="320" w:type="dxa"/>
            <w:vAlign w:val="bottom"/>
            <w:tcBorders>
              <w:bottom w:val="single" w:sz="8" w:color="6400A0"/>
            </w:tcBorders>
          </w:tcPr>
          <w:p>
            <w:pPr>
              <w:spacing w:after="0"/>
              <w:rPr>
                <w:sz w:val="19"/>
                <w:szCs w:val="19"/>
                <w:color w:val="auto"/>
              </w:rPr>
            </w:pPr>
          </w:p>
        </w:tc>
        <w:tc>
          <w:tcPr>
            <w:tcW w:w="1360" w:type="dxa"/>
            <w:vAlign w:val="bottom"/>
            <w:tcBorders>
              <w:bottom w:val="single" w:sz="8" w:color="6400A0"/>
            </w:tcBorders>
          </w:tcPr>
          <w:p>
            <w:pPr>
              <w:jc w:val="right"/>
              <w:ind w:right="719"/>
              <w:spacing w:after="0"/>
              <w:rPr>
                <w:sz w:val="20"/>
                <w:szCs w:val="20"/>
                <w:color w:val="auto"/>
              </w:rPr>
            </w:pPr>
            <w:r>
              <w:rPr>
                <w:rFonts w:ascii="Arial" w:cs="Arial" w:eastAsia="Arial" w:hAnsi="Arial"/>
                <w:sz w:val="16"/>
                <w:szCs w:val="16"/>
                <w:b w:val="1"/>
                <w:bCs w:val="1"/>
                <w:color w:val="454545"/>
              </w:rPr>
              <w:t>2025</w:t>
            </w:r>
          </w:p>
        </w:tc>
        <w:tc>
          <w:tcPr>
            <w:tcW w:w="1080" w:type="dxa"/>
            <w:vAlign w:val="bottom"/>
            <w:tcBorders>
              <w:bottom w:val="single" w:sz="8" w:color="6400A0"/>
            </w:tcBorders>
          </w:tcPr>
          <w:p>
            <w:pPr>
              <w:jc w:val="right"/>
              <w:ind w:right="439"/>
              <w:spacing w:after="0"/>
              <w:rPr>
                <w:sz w:val="20"/>
                <w:szCs w:val="20"/>
                <w:color w:val="auto"/>
              </w:rPr>
            </w:pPr>
            <w:r>
              <w:rPr>
                <w:rFonts w:ascii="Arial" w:cs="Arial" w:eastAsia="Arial" w:hAnsi="Arial"/>
                <w:sz w:val="16"/>
                <w:szCs w:val="16"/>
                <w:b w:val="1"/>
                <w:bCs w:val="1"/>
                <w:color w:val="454545"/>
              </w:rPr>
              <w:t>2024</w:t>
            </w:r>
          </w:p>
        </w:tc>
        <w:tc>
          <w:tcPr>
            <w:tcW w:w="180" w:type="dxa"/>
            <w:vAlign w:val="bottom"/>
            <w:tcBorders>
              <w:bottom w:val="single" w:sz="8" w:color="6400A0"/>
            </w:tcBorders>
          </w:tcPr>
          <w:p>
            <w:pPr>
              <w:spacing w:after="0"/>
              <w:rPr>
                <w:sz w:val="19"/>
                <w:szCs w:val="19"/>
                <w:color w:val="auto"/>
              </w:rPr>
            </w:pPr>
          </w:p>
        </w:tc>
        <w:tc>
          <w:tcPr>
            <w:tcW w:w="280" w:type="dxa"/>
            <w:vAlign w:val="bottom"/>
            <w:tcBorders>
              <w:bottom w:val="single" w:sz="8" w:color="6400A0"/>
            </w:tcBorders>
          </w:tcPr>
          <w:p>
            <w:pPr>
              <w:spacing w:after="0"/>
              <w:rPr>
                <w:sz w:val="19"/>
                <w:szCs w:val="19"/>
                <w:color w:val="auto"/>
              </w:rPr>
            </w:pPr>
          </w:p>
        </w:tc>
        <w:tc>
          <w:tcPr>
            <w:tcW w:w="940" w:type="dxa"/>
            <w:vAlign w:val="bottom"/>
            <w:tcBorders>
              <w:bottom w:val="single" w:sz="8" w:color="6400A0"/>
            </w:tcBorders>
          </w:tcPr>
          <w:p>
            <w:pPr>
              <w:jc w:val="right"/>
              <w:ind w:right="339"/>
              <w:spacing w:after="0"/>
              <w:rPr>
                <w:sz w:val="20"/>
                <w:szCs w:val="20"/>
                <w:color w:val="auto"/>
              </w:rPr>
            </w:pPr>
            <w:r>
              <w:rPr>
                <w:rFonts w:ascii="Arial" w:cs="Arial" w:eastAsia="Arial" w:hAnsi="Arial"/>
                <w:sz w:val="16"/>
                <w:szCs w:val="16"/>
                <w:b w:val="1"/>
                <w:bCs w:val="1"/>
                <w:color w:val="454545"/>
              </w:rPr>
              <w:t>2025</w:t>
            </w:r>
          </w:p>
        </w:tc>
        <w:tc>
          <w:tcPr>
            <w:tcW w:w="940" w:type="dxa"/>
            <w:vAlign w:val="bottom"/>
            <w:tcBorders>
              <w:bottom w:val="single" w:sz="8" w:color="6400A0"/>
            </w:tcBorders>
          </w:tcPr>
          <w:p>
            <w:pPr>
              <w:jc w:val="right"/>
              <w:ind w:right="19"/>
              <w:spacing w:after="0"/>
              <w:rPr>
                <w:sz w:val="20"/>
                <w:szCs w:val="20"/>
                <w:color w:val="auto"/>
              </w:rPr>
            </w:pPr>
            <w:r>
              <w:rPr>
                <w:rFonts w:ascii="Arial" w:cs="Arial" w:eastAsia="Arial" w:hAnsi="Arial"/>
                <w:sz w:val="16"/>
                <w:szCs w:val="16"/>
                <w:b w:val="1"/>
                <w:bCs w:val="1"/>
                <w:color w:val="454545"/>
              </w:rPr>
              <w:t>2024</w:t>
            </w:r>
          </w:p>
        </w:tc>
        <w:tc>
          <w:tcPr>
            <w:tcW w:w="340" w:type="dxa"/>
            <w:vAlign w:val="bottom"/>
            <w:tcBorders>
              <w:bottom w:val="single" w:sz="8" w:color="6400A0"/>
            </w:tcBorders>
          </w:tcPr>
          <w:p>
            <w:pPr>
              <w:spacing w:after="0"/>
              <w:rPr>
                <w:sz w:val="19"/>
                <w:szCs w:val="19"/>
                <w:color w:val="auto"/>
              </w:rPr>
            </w:pPr>
          </w:p>
        </w:tc>
        <w:tc>
          <w:tcPr>
            <w:tcW w:w="920" w:type="dxa"/>
            <w:vAlign w:val="bottom"/>
            <w:tcBorders>
              <w:bottom w:val="single" w:sz="8" w:color="6400A0"/>
            </w:tcBorders>
          </w:tcPr>
          <w:p>
            <w:pPr>
              <w:jc w:val="right"/>
              <w:ind w:right="19"/>
              <w:spacing w:after="0"/>
              <w:rPr>
                <w:sz w:val="20"/>
                <w:szCs w:val="20"/>
                <w:color w:val="auto"/>
              </w:rPr>
            </w:pPr>
            <w:r>
              <w:rPr>
                <w:rFonts w:ascii="Arial" w:cs="Arial" w:eastAsia="Arial" w:hAnsi="Arial"/>
                <w:sz w:val="16"/>
                <w:szCs w:val="16"/>
                <w:b w:val="1"/>
                <w:bCs w:val="1"/>
                <w:color w:val="454545"/>
              </w:rPr>
              <w:t>2023</w:t>
            </w:r>
          </w:p>
        </w:tc>
        <w:tc>
          <w:tcPr>
            <w:tcW w:w="340" w:type="dxa"/>
            <w:vAlign w:val="bottom"/>
            <w:tcBorders>
              <w:bottom w:val="single" w:sz="8" w:color="6400A0"/>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940" w:type="dxa"/>
            <w:vAlign w:val="bottom"/>
            <w:shd w:val="clear" w:color="auto" w:fill="E4E4E4"/>
          </w:tcPr>
          <w:p>
            <w:pPr>
              <w:ind w:left="20"/>
              <w:spacing w:after="0" w:line="240" w:lineRule="exact"/>
              <w:rPr>
                <w:sz w:val="20"/>
                <w:szCs w:val="20"/>
                <w:color w:val="auto"/>
              </w:rPr>
            </w:pPr>
            <w:r>
              <w:rPr>
                <w:rFonts w:ascii="Arial" w:cs="Arial" w:eastAsia="Arial" w:hAnsi="Arial"/>
                <w:sz w:val="16"/>
                <w:szCs w:val="16"/>
                <w:color w:val="auto"/>
              </w:rPr>
              <w:t>Nihon Medi-Physics Co., Ltd.</w:t>
            </w:r>
            <w:r>
              <w:rPr>
                <w:rFonts w:ascii="Arial" w:cs="Arial" w:eastAsia="Arial" w:hAnsi="Arial"/>
                <w:sz w:val="21"/>
                <w:szCs w:val="21"/>
                <w:color w:val="auto"/>
                <w:vertAlign w:val="superscript"/>
              </w:rPr>
              <w:t>(1)</w:t>
            </w:r>
          </w:p>
        </w:tc>
        <w:tc>
          <w:tcPr>
            <w:tcW w:w="1600" w:type="dxa"/>
            <w:vAlign w:val="bottom"/>
            <w:shd w:val="clear" w:color="auto" w:fill="E4E4E4"/>
          </w:tcPr>
          <w:p>
            <w:pPr>
              <w:jc w:val="center"/>
              <w:spacing w:after="0"/>
              <w:rPr>
                <w:sz w:val="20"/>
                <w:szCs w:val="20"/>
                <w:color w:val="auto"/>
              </w:rPr>
            </w:pPr>
            <w:r>
              <w:rPr>
                <w:rFonts w:ascii="Arial" w:cs="Arial" w:eastAsia="Arial" w:hAnsi="Arial"/>
                <w:sz w:val="16"/>
                <w:szCs w:val="16"/>
                <w:color w:val="auto"/>
                <w:w w:val="99"/>
              </w:rPr>
              <w:t>50%</w:t>
            </w:r>
          </w:p>
        </w:tc>
        <w:tc>
          <w:tcPr>
            <w:tcW w:w="320" w:type="dxa"/>
            <w:vAlign w:val="bottom"/>
            <w:shd w:val="clear" w:color="auto" w:fill="E4E4E4"/>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E4E4E4"/>
          </w:tcPr>
          <w:p>
            <w:pPr>
              <w:jc w:val="right"/>
              <w:ind w:right="119"/>
              <w:spacing w:after="0"/>
              <w:rPr>
                <w:sz w:val="20"/>
                <w:szCs w:val="20"/>
                <w:color w:val="auto"/>
              </w:rPr>
            </w:pPr>
            <w:r>
              <w:rPr>
                <w:rFonts w:ascii="Arial" w:cs="Arial" w:eastAsia="Arial" w:hAnsi="Arial"/>
                <w:sz w:val="16"/>
                <w:szCs w:val="16"/>
                <w:color w:val="auto"/>
              </w:rPr>
              <w:t>— $</w:t>
            </w:r>
          </w:p>
        </w:tc>
        <w:tc>
          <w:tcPr>
            <w:tcW w:w="108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139</w:t>
            </w:r>
          </w:p>
        </w:tc>
        <w:tc>
          <w:tcPr>
            <w:tcW w:w="180" w:type="dxa"/>
            <w:vAlign w:val="bottom"/>
            <w:shd w:val="clear" w:color="auto" w:fill="E4E4E4"/>
          </w:tcPr>
          <w:p>
            <w:pPr>
              <w:spacing w:after="0"/>
              <w:rPr>
                <w:sz w:val="20"/>
                <w:szCs w:val="20"/>
                <w:color w:val="auto"/>
              </w:rPr>
            </w:pPr>
          </w:p>
        </w:tc>
        <w:tc>
          <w:tcPr>
            <w:tcW w:w="280" w:type="dxa"/>
            <w:vAlign w:val="bottom"/>
            <w:shd w:val="clear" w:color="auto" w:fill="E4E4E4"/>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2</w:t>
            </w:r>
          </w:p>
        </w:tc>
        <w:tc>
          <w:tcPr>
            <w:tcW w:w="940" w:type="dxa"/>
            <w:vAlign w:val="bottom"/>
            <w:shd w:val="clear" w:color="auto" w:fill="E4E4E4"/>
          </w:tcPr>
          <w:p>
            <w:pPr>
              <w:jc w:val="right"/>
              <w:ind w:right="719"/>
              <w:spacing w:after="0"/>
              <w:rPr>
                <w:sz w:val="20"/>
                <w:szCs w:val="20"/>
                <w:color w:val="auto"/>
              </w:rPr>
            </w:pPr>
            <w:r>
              <w:rPr>
                <w:rFonts w:ascii="Arial" w:cs="Arial" w:eastAsia="Arial" w:hAnsi="Arial"/>
                <w:sz w:val="16"/>
                <w:szCs w:val="16"/>
                <w:color w:val="auto"/>
              </w:rPr>
              <w:t>$</w:t>
            </w:r>
          </w:p>
        </w:tc>
        <w:tc>
          <w:tcPr>
            <w:tcW w:w="3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920" w:type="dxa"/>
            <w:vAlign w:val="bottom"/>
            <w:shd w:val="clear" w:color="auto" w:fill="E4E4E4"/>
          </w:tcPr>
          <w:p>
            <w:pPr>
              <w:jc w:val="right"/>
              <w:ind w:right="719"/>
              <w:spacing w:after="0"/>
              <w:rPr>
                <w:sz w:val="20"/>
                <w:szCs w:val="20"/>
                <w:color w:val="auto"/>
              </w:rPr>
            </w:pPr>
            <w:r>
              <w:rPr>
                <w:rFonts w:ascii="Arial" w:cs="Arial" w:eastAsia="Arial" w:hAnsi="Arial"/>
                <w:sz w:val="16"/>
                <w:szCs w:val="16"/>
                <w:color w:val="auto"/>
              </w:rPr>
              <w:t>$</w:t>
            </w:r>
          </w:p>
        </w:tc>
        <w:tc>
          <w:tcPr>
            <w:tcW w:w="34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3"/>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9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6"/>
        </w:trPr>
        <w:tc>
          <w:tcPr>
            <w:tcW w:w="294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Total</w:t>
            </w:r>
          </w:p>
        </w:tc>
        <w:tc>
          <w:tcPr>
            <w:tcW w:w="1600" w:type="dxa"/>
            <w:vAlign w:val="bottom"/>
            <w:tcBorders>
              <w:bottom w:val="single" w:sz="8" w:color="auto"/>
            </w:tcBorders>
            <w:shd w:val="clear" w:color="auto" w:fill="E4E4E4"/>
          </w:tcPr>
          <w:p>
            <w:pPr>
              <w:spacing w:after="0"/>
              <w:rPr>
                <w:sz w:val="19"/>
                <w:szCs w:val="19"/>
                <w:color w:val="auto"/>
              </w:rPr>
            </w:pPr>
          </w:p>
        </w:tc>
        <w:tc>
          <w:tcPr>
            <w:tcW w:w="32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shd w:val="clear" w:color="auto" w:fill="E4E4E4"/>
          </w:tcPr>
          <w:p>
            <w:pPr>
              <w:jc w:val="right"/>
              <w:ind w:right="119"/>
              <w:spacing w:after="0"/>
              <w:rPr>
                <w:sz w:val="20"/>
                <w:szCs w:val="20"/>
                <w:color w:val="auto"/>
              </w:rPr>
            </w:pPr>
            <w:r>
              <w:rPr>
                <w:rFonts w:ascii="Arial" w:cs="Arial" w:eastAsia="Arial" w:hAnsi="Arial"/>
                <w:sz w:val="16"/>
                <w:szCs w:val="16"/>
                <w:b w:val="1"/>
                <w:bCs w:val="1"/>
                <w:color w:val="auto"/>
              </w:rPr>
              <w:t>28 $</w:t>
            </w:r>
          </w:p>
        </w:tc>
        <w:tc>
          <w:tcPr>
            <w:tcW w:w="108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163</w:t>
            </w:r>
          </w:p>
        </w:tc>
        <w:tc>
          <w:tcPr>
            <w:tcW w:w="180" w:type="dxa"/>
            <w:vAlign w:val="bottom"/>
            <w:tcBorders>
              <w:bottom w:val="single" w:sz="8" w:color="auto"/>
            </w:tcBorders>
            <w:shd w:val="clear" w:color="auto" w:fill="E4E4E4"/>
          </w:tcPr>
          <w:p>
            <w:pPr>
              <w:spacing w:after="0"/>
              <w:rPr>
                <w:sz w:val="19"/>
                <w:szCs w:val="19"/>
                <w:color w:val="auto"/>
              </w:rPr>
            </w:pPr>
          </w:p>
        </w:tc>
        <w:tc>
          <w:tcPr>
            <w:tcW w:w="280" w:type="dxa"/>
            <w:vAlign w:val="bottom"/>
            <w:tcBorders>
              <w:bottom w:val="single" w:sz="8" w:color="auto"/>
            </w:tcBorders>
            <w:shd w:val="clear" w:color="auto" w:fill="E4E4E4"/>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w:t>
            </w:r>
          </w:p>
        </w:tc>
        <w:tc>
          <w:tcPr>
            <w:tcW w:w="940" w:type="dxa"/>
            <w:vAlign w:val="bottom"/>
            <w:tcBorders>
              <w:bottom w:val="single" w:sz="8" w:color="auto"/>
            </w:tcBorders>
            <w:shd w:val="clear" w:color="auto" w:fill="E4E4E4"/>
          </w:tcPr>
          <w:p>
            <w:pPr>
              <w:jc w:val="right"/>
              <w:ind w:right="71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8</w:t>
            </w:r>
          </w:p>
        </w:tc>
        <w:tc>
          <w:tcPr>
            <w:tcW w:w="920" w:type="dxa"/>
            <w:vAlign w:val="bottom"/>
            <w:tcBorders>
              <w:bottom w:val="single" w:sz="8" w:color="auto"/>
            </w:tcBorders>
            <w:shd w:val="clear" w:color="auto" w:fill="E4E4E4"/>
          </w:tcPr>
          <w:p>
            <w:pPr>
              <w:jc w:val="right"/>
              <w:ind w:right="719"/>
              <w:spacing w:after="0"/>
              <w:rPr>
                <w:sz w:val="20"/>
                <w:szCs w:val="20"/>
                <w:color w:val="auto"/>
              </w:rPr>
            </w:pPr>
            <w:r>
              <w:rPr>
                <w:rFonts w:ascii="Arial" w:cs="Arial" w:eastAsia="Arial" w:hAnsi="Arial"/>
                <w:sz w:val="16"/>
                <w:szCs w:val="16"/>
                <w:b w:val="1"/>
                <w:bCs w:val="1"/>
                <w:color w:val="auto"/>
              </w:rPr>
              <w:t>$</w:t>
            </w:r>
          </w:p>
        </w:tc>
        <w:tc>
          <w:tcPr>
            <w:tcW w:w="3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40" w:firstLine="8"/>
        <w:spacing w:after="0" w:line="286" w:lineRule="auto"/>
        <w:tabs>
          <w:tab w:leader="none" w:pos="2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the first quarter of 2025, the Company acquired its remaining interest in NMP. Refer to Note 8, “Acquisitions, Goodwill, and Other Intangible Assets” for additional information on the NMP acquisition.</w:t>
      </w:r>
    </w:p>
    <w:p>
      <w:pPr>
        <w:spacing w:after="0" w:line="183"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As of December 31, 2025 and 2024, the fair value of investments over which we have significant influence and have elected the fair value option was $32 million and $6 million, respectively.</w:t>
      </w:r>
    </w:p>
    <w:p>
      <w:pPr>
        <w:sectPr>
          <w:pgSz w:w="11900" w:h="16838" w:orient="portrait"/>
          <w:cols w:equalWidth="0" w:num="1">
            <w:col w:w="11240"/>
          </w:cols>
          <w:pgMar w:left="320" w:top="130" w:right="339" w:bottom="6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633" w:gutter="0" w:footer="0" w:header="0"/>
          <w:type w:val="continuous"/>
        </w:sectPr>
      </w:pPr>
    </w:p>
    <w:bookmarkStart w:id="101" w:name="page102"/>
    <w:bookmarkEnd w:id="101"/>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FINANCE PROGRAMS.</w:t>
      </w:r>
    </w:p>
    <w:p>
      <w:pPr>
        <w:spacing w:after="0" w:line="262"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A rollforward of our outstanding obligations confirmed and paid under the supply chain finance programs, which are included within Accounts payable in the Consolidated Statements of Financial Position, is presented below.</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442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454545"/>
              </w:rPr>
              <w:t>For the years ended December 31</w:t>
            </w:r>
          </w:p>
        </w:tc>
        <w:tc>
          <w:tcPr>
            <w:tcW w:w="760" w:type="dxa"/>
            <w:vAlign w:val="bottom"/>
          </w:tcPr>
          <w:p>
            <w:pPr>
              <w:spacing w:after="0"/>
              <w:rPr>
                <w:sz w:val="19"/>
                <w:szCs w:val="19"/>
                <w:color w:val="auto"/>
              </w:rPr>
            </w:pPr>
          </w:p>
        </w:tc>
      </w:tr>
      <w:tr>
        <w:trPr>
          <w:trHeight w:val="21"/>
        </w:trPr>
        <w:tc>
          <w:tcPr>
            <w:tcW w:w="6060" w:type="dxa"/>
            <w:vAlign w:val="bottom"/>
          </w:tcPr>
          <w:p>
            <w:pPr>
              <w:spacing w:after="0" w:line="20" w:lineRule="exact"/>
              <w:rPr>
                <w:sz w:val="1"/>
                <w:szCs w:val="1"/>
                <w:color w:val="auto"/>
              </w:rPr>
            </w:pPr>
          </w:p>
        </w:tc>
        <w:tc>
          <w:tcPr>
            <w:tcW w:w="182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c>
          <w:tcPr>
            <w:tcW w:w="1840" w:type="dxa"/>
            <w:vAlign w:val="bottom"/>
            <w:tcBorders>
              <w:bottom w:val="single" w:sz="8" w:color="454545"/>
            </w:tcBorders>
          </w:tcPr>
          <w:p>
            <w:pPr>
              <w:spacing w:after="0" w:line="20" w:lineRule="exact"/>
              <w:rPr>
                <w:sz w:val="1"/>
                <w:szCs w:val="1"/>
                <w:color w:val="auto"/>
              </w:rPr>
            </w:pPr>
          </w:p>
        </w:tc>
        <w:tc>
          <w:tcPr>
            <w:tcW w:w="760" w:type="dxa"/>
            <w:vAlign w:val="bottom"/>
            <w:tcBorders>
              <w:bottom w:val="single" w:sz="8" w:color="454545"/>
            </w:tcBorders>
          </w:tcPr>
          <w:p>
            <w:pPr>
              <w:spacing w:after="0" w:line="20" w:lineRule="exact"/>
              <w:rPr>
                <w:sz w:val="1"/>
                <w:szCs w:val="1"/>
                <w:color w:val="auto"/>
              </w:rPr>
            </w:pPr>
          </w:p>
        </w:tc>
      </w:tr>
      <w:tr>
        <w:trPr>
          <w:trHeight w:val="233"/>
        </w:trPr>
        <w:tc>
          <w:tcPr>
            <w:tcW w:w="6060" w:type="dxa"/>
            <w:vAlign w:val="bottom"/>
            <w:tcBorders>
              <w:bottom w:val="single" w:sz="8" w:color="6022A6"/>
            </w:tcBorders>
          </w:tcPr>
          <w:p>
            <w:pPr>
              <w:spacing w:after="0"/>
              <w:rPr>
                <w:sz w:val="20"/>
                <w:szCs w:val="20"/>
                <w:color w:val="auto"/>
              </w:rPr>
            </w:pPr>
          </w:p>
        </w:tc>
        <w:tc>
          <w:tcPr>
            <w:tcW w:w="1820" w:type="dxa"/>
            <w:vAlign w:val="bottom"/>
            <w:tcBorders>
              <w:bottom w:val="single" w:sz="8" w:color="6022A6"/>
            </w:tcBorders>
          </w:tcPr>
          <w:p>
            <w:pPr>
              <w:jc w:val="right"/>
              <w:ind w:right="259"/>
              <w:spacing w:after="0"/>
              <w:rPr>
                <w:sz w:val="20"/>
                <w:szCs w:val="20"/>
                <w:color w:val="auto"/>
              </w:rPr>
            </w:pPr>
            <w:r>
              <w:rPr>
                <w:rFonts w:ascii="Arial" w:cs="Arial" w:eastAsia="Arial" w:hAnsi="Arial"/>
                <w:sz w:val="16"/>
                <w:szCs w:val="16"/>
                <w:b w:val="1"/>
                <w:bCs w:val="1"/>
                <w:color w:val="454545"/>
              </w:rPr>
              <w:t>2025</w:t>
            </w:r>
          </w:p>
        </w:tc>
        <w:tc>
          <w:tcPr>
            <w:tcW w:w="760" w:type="dxa"/>
            <w:vAlign w:val="bottom"/>
            <w:tcBorders>
              <w:bottom w:val="single" w:sz="8" w:color="6022A6"/>
            </w:tcBorders>
          </w:tcPr>
          <w:p>
            <w:pPr>
              <w:spacing w:after="0"/>
              <w:rPr>
                <w:sz w:val="20"/>
                <w:szCs w:val="20"/>
                <w:color w:val="auto"/>
              </w:rPr>
            </w:pPr>
          </w:p>
        </w:tc>
        <w:tc>
          <w:tcPr>
            <w:tcW w:w="1840" w:type="dxa"/>
            <w:vAlign w:val="bottom"/>
            <w:tcBorders>
              <w:bottom w:val="single" w:sz="8" w:color="6022A6"/>
            </w:tcBorders>
          </w:tcPr>
          <w:p>
            <w:pPr>
              <w:jc w:val="right"/>
              <w:ind w:right="279"/>
              <w:spacing w:after="0"/>
              <w:rPr>
                <w:sz w:val="20"/>
                <w:szCs w:val="20"/>
                <w:color w:val="auto"/>
              </w:rPr>
            </w:pPr>
            <w:r>
              <w:rPr>
                <w:rFonts w:ascii="Arial" w:cs="Arial" w:eastAsia="Arial" w:hAnsi="Arial"/>
                <w:sz w:val="16"/>
                <w:szCs w:val="16"/>
                <w:b w:val="1"/>
                <w:bCs w:val="1"/>
                <w:color w:val="454545"/>
              </w:rPr>
              <w:t>2024</w:t>
            </w:r>
          </w:p>
        </w:tc>
        <w:tc>
          <w:tcPr>
            <w:tcW w:w="760" w:type="dxa"/>
            <w:vAlign w:val="bottom"/>
            <w:tcBorders>
              <w:bottom w:val="single" w:sz="8" w:color="6022A6"/>
            </w:tcBorders>
          </w:tcPr>
          <w:p>
            <w:pPr>
              <w:spacing w:after="0"/>
              <w:rPr>
                <w:sz w:val="20"/>
                <w:szCs w:val="20"/>
                <w:color w:val="auto"/>
              </w:rPr>
            </w:pPr>
          </w:p>
        </w:tc>
      </w:tr>
      <w:tr>
        <w:trPr>
          <w:trHeight w:val="234"/>
        </w:trPr>
        <w:tc>
          <w:tcPr>
            <w:tcW w:w="6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Confirmed obligations outstanding at beginning of period</w:t>
            </w:r>
          </w:p>
        </w:tc>
        <w:tc>
          <w:tcPr>
            <w:tcW w:w="1820" w:type="dxa"/>
            <w:vAlign w:val="bottom"/>
            <w:tcBorders>
              <w:bottom w:val="single" w:sz="8" w:color="E4E4E4"/>
            </w:tcBorders>
            <w:shd w:val="clear" w:color="auto" w:fill="E4E4E4"/>
          </w:tcPr>
          <w:p>
            <w:pPr>
              <w:jc w:val="right"/>
              <w:ind w:right="16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394</w:t>
            </w:r>
          </w:p>
        </w:tc>
        <w:tc>
          <w:tcPr>
            <w:tcW w:w="1840" w:type="dxa"/>
            <w:vAlign w:val="bottom"/>
            <w:tcBorders>
              <w:bottom w:val="single" w:sz="8" w:color="E4E4E4"/>
            </w:tcBorders>
            <w:shd w:val="clear" w:color="auto" w:fill="E4E4E4"/>
          </w:tcPr>
          <w:p>
            <w:pPr>
              <w:jc w:val="right"/>
              <w:ind w:right="16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365</w:t>
            </w:r>
          </w:p>
        </w:tc>
      </w:tr>
      <w:tr>
        <w:trPr>
          <w:trHeight w:val="228"/>
        </w:trPr>
        <w:tc>
          <w:tcPr>
            <w:tcW w:w="6060" w:type="dxa"/>
            <w:vAlign w:val="bottom"/>
          </w:tcPr>
          <w:p>
            <w:pPr>
              <w:ind w:left="20"/>
              <w:spacing w:after="0"/>
              <w:rPr>
                <w:sz w:val="20"/>
                <w:szCs w:val="20"/>
                <w:color w:val="auto"/>
              </w:rPr>
            </w:pPr>
            <w:r>
              <w:rPr>
                <w:rFonts w:ascii="Arial" w:cs="Arial" w:eastAsia="Arial" w:hAnsi="Arial"/>
                <w:sz w:val="16"/>
                <w:szCs w:val="16"/>
                <w:color w:val="auto"/>
              </w:rPr>
              <w:t>Invoices confirmed during the year</w:t>
            </w:r>
          </w:p>
        </w:tc>
        <w:tc>
          <w:tcPr>
            <w:tcW w:w="1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818</w:t>
            </w:r>
          </w:p>
        </w:tc>
        <w:tc>
          <w:tcPr>
            <w:tcW w:w="18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886</w:t>
            </w:r>
          </w:p>
        </w:tc>
      </w:tr>
      <w:tr>
        <w:trPr>
          <w:trHeight w:val="29"/>
        </w:trPr>
        <w:tc>
          <w:tcPr>
            <w:tcW w:w="6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6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Confirmed invoices paid during the year</w:t>
            </w:r>
          </w:p>
        </w:tc>
        <w:tc>
          <w:tcPr>
            <w:tcW w:w="182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(853)</w:t>
            </w:r>
          </w:p>
        </w:tc>
        <w:tc>
          <w:tcPr>
            <w:tcW w:w="1840" w:type="dxa"/>
            <w:vAlign w:val="bottom"/>
            <w:tcBorders>
              <w:bottom w:val="single" w:sz="8" w:color="E4E4E4"/>
            </w:tcBorders>
            <w:shd w:val="clear" w:color="auto" w:fill="E4E4E4"/>
          </w:tcPr>
          <w:p>
            <w:pPr>
              <w:spacing w:after="0"/>
              <w:rPr>
                <w:sz w:val="20"/>
                <w:szCs w:val="20"/>
                <w:color w:val="auto"/>
              </w:rPr>
            </w:pP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(855)</w:t>
            </w:r>
          </w:p>
        </w:tc>
      </w:tr>
      <w:tr>
        <w:trPr>
          <w:trHeight w:val="227"/>
        </w:trPr>
        <w:tc>
          <w:tcPr>
            <w:tcW w:w="6060" w:type="dxa"/>
            <w:vAlign w:val="bottom"/>
          </w:tcPr>
          <w:p>
            <w:pPr>
              <w:ind w:left="20"/>
              <w:spacing w:after="0"/>
              <w:rPr>
                <w:sz w:val="20"/>
                <w:szCs w:val="20"/>
                <w:color w:val="auto"/>
              </w:rPr>
            </w:pPr>
            <w:r>
              <w:rPr>
                <w:rFonts w:ascii="Arial" w:cs="Arial" w:eastAsia="Arial" w:hAnsi="Arial"/>
                <w:sz w:val="16"/>
                <w:szCs w:val="16"/>
                <w:color w:val="auto"/>
              </w:rPr>
              <w:t>Foreign exchange and other</w:t>
            </w:r>
          </w:p>
        </w:tc>
        <w:tc>
          <w:tcPr>
            <w:tcW w:w="1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8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9"/>
        </w:trPr>
        <w:tc>
          <w:tcPr>
            <w:tcW w:w="60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06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Confirmed obligations outstanding at end of period</w:t>
            </w:r>
          </w:p>
        </w:tc>
        <w:tc>
          <w:tcPr>
            <w:tcW w:w="1820" w:type="dxa"/>
            <w:vAlign w:val="bottom"/>
            <w:tcBorders>
              <w:bottom w:val="single" w:sz="8" w:color="E4E4E4"/>
            </w:tcBorders>
            <w:shd w:val="clear" w:color="auto" w:fill="E4E4E4"/>
          </w:tcPr>
          <w:p>
            <w:pPr>
              <w:jc w:val="right"/>
              <w:ind w:right="16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360</w:t>
            </w:r>
          </w:p>
        </w:tc>
        <w:tc>
          <w:tcPr>
            <w:tcW w:w="1840" w:type="dxa"/>
            <w:vAlign w:val="bottom"/>
            <w:tcBorders>
              <w:bottom w:val="single" w:sz="8" w:color="E4E4E4"/>
            </w:tcBorders>
            <w:shd w:val="clear" w:color="auto" w:fill="E4E4E4"/>
          </w:tcPr>
          <w:p>
            <w:pPr>
              <w:jc w:val="right"/>
              <w:ind w:right="16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394</w:t>
            </w:r>
          </w:p>
        </w:tc>
      </w:tr>
      <w:tr>
        <w:trPr>
          <w:trHeight w:val="20"/>
        </w:trPr>
        <w:tc>
          <w:tcPr>
            <w:tcW w:w="606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NONCONTROLLING INTERESTS.</w:t>
      </w:r>
    </w:p>
    <w:p>
      <w:pPr>
        <w:spacing w:after="0" w:line="248"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Company has noncontrolling interests with redemption features. These redemption features, such as put options, could require the Company to purchase the noncontrolling interests upon the occurrence of certain events. All noncontrolling interests with redemption features that are not solely within our control are recognized within the Consolidated Statements of Financial Position between liabilities and equity. Redeemable noncontrolling interests are initially recorded at the issuance date fair value. Those that are currently redeemable, or probable of becoming redeemable, are subsequently adjusted to the greater of current redemption value or initial carrying value.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20"/>
                <w:szCs w:val="20"/>
                <w:color w:val="auto"/>
              </w:rPr>
            </w:pPr>
            <w:r>
              <w:rPr>
                <w:rFonts w:ascii="Arial" w:cs="Arial" w:eastAsia="Arial" w:hAnsi="Arial"/>
                <w:sz w:val="16"/>
                <w:szCs w:val="16"/>
                <w:color w:val="auto"/>
              </w:rPr>
              <w:t>Activity attributable to redeemable noncontrolling interests is presented below.</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8"/>
        </w:trPr>
        <w:tc>
          <w:tcPr>
            <w:tcW w:w="6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20" w:type="dxa"/>
            <w:vAlign w:val="bottom"/>
          </w:tcPr>
          <w:p>
            <w:pPr>
              <w:spacing w:after="0"/>
              <w:rPr>
                <w:sz w:val="20"/>
                <w:szCs w:val="20"/>
                <w:color w:val="auto"/>
              </w:rPr>
            </w:pPr>
          </w:p>
        </w:tc>
      </w:tr>
      <w:tr>
        <w:trPr>
          <w:trHeight w:val="21"/>
        </w:trPr>
        <w:tc>
          <w:tcPr>
            <w:tcW w:w="6500" w:type="dxa"/>
            <w:vAlign w:val="bottom"/>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560" w:type="dxa"/>
            <w:vAlign w:val="bottom"/>
            <w:tcBorders>
              <w:bottom w:val="single" w:sz="8" w:color="454545"/>
            </w:tcBorders>
          </w:tcPr>
          <w:p>
            <w:pPr>
              <w:spacing w:after="0" w:line="20" w:lineRule="exact"/>
              <w:rPr>
                <w:sz w:val="1"/>
                <w:szCs w:val="1"/>
                <w:color w:val="auto"/>
              </w:rPr>
            </w:pPr>
          </w:p>
        </w:tc>
        <w:tc>
          <w:tcPr>
            <w:tcW w:w="1020" w:type="dxa"/>
            <w:vAlign w:val="bottom"/>
            <w:tcBorders>
              <w:bottom w:val="single" w:sz="8" w:color="454545"/>
            </w:tcBorders>
          </w:tcPr>
          <w:p>
            <w:pPr>
              <w:spacing w:after="0" w:line="20" w:lineRule="exact"/>
              <w:rPr>
                <w:sz w:val="1"/>
                <w:szCs w:val="1"/>
                <w:color w:val="auto"/>
              </w:rPr>
            </w:pPr>
          </w:p>
        </w:tc>
      </w:tr>
      <w:tr>
        <w:trPr>
          <w:trHeight w:val="220"/>
        </w:trPr>
        <w:tc>
          <w:tcPr>
            <w:tcW w:w="6500" w:type="dxa"/>
            <w:vAlign w:val="bottom"/>
            <w:tcBorders>
              <w:bottom w:val="single" w:sz="8" w:color="6022A6"/>
            </w:tcBorders>
          </w:tcPr>
          <w:p>
            <w:pPr>
              <w:spacing w:after="0"/>
              <w:rPr>
                <w:sz w:val="19"/>
                <w:szCs w:val="19"/>
                <w:color w:val="auto"/>
              </w:rPr>
            </w:pPr>
          </w:p>
        </w:tc>
        <w:tc>
          <w:tcPr>
            <w:tcW w:w="102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2025</w:t>
            </w:r>
          </w:p>
        </w:tc>
        <w:tc>
          <w:tcPr>
            <w:tcW w:w="560" w:type="dxa"/>
            <w:vAlign w:val="bottom"/>
            <w:tcBorders>
              <w:bottom w:val="single" w:sz="8" w:color="6022A6"/>
            </w:tcBorders>
          </w:tcPr>
          <w:p>
            <w:pPr>
              <w:spacing w:after="0"/>
              <w:rPr>
                <w:sz w:val="19"/>
                <w:szCs w:val="19"/>
                <w:color w:val="auto"/>
              </w:rPr>
            </w:pPr>
          </w:p>
        </w:tc>
        <w:tc>
          <w:tcPr>
            <w:tcW w:w="360" w:type="dxa"/>
            <w:vAlign w:val="bottom"/>
            <w:tcBorders>
              <w:bottom w:val="single" w:sz="8" w:color="6022A6"/>
            </w:tcBorders>
          </w:tcPr>
          <w:p>
            <w:pPr>
              <w:spacing w:after="0"/>
              <w:rPr>
                <w:sz w:val="19"/>
                <w:szCs w:val="19"/>
                <w:color w:val="auto"/>
              </w:rPr>
            </w:pPr>
          </w:p>
        </w:tc>
        <w:tc>
          <w:tcPr>
            <w:tcW w:w="122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2024</w:t>
            </w:r>
          </w:p>
        </w:tc>
        <w:tc>
          <w:tcPr>
            <w:tcW w:w="560" w:type="dxa"/>
            <w:vAlign w:val="bottom"/>
            <w:tcBorders>
              <w:bottom w:val="single" w:sz="8" w:color="6022A6"/>
            </w:tcBorders>
          </w:tcPr>
          <w:p>
            <w:pPr>
              <w:spacing w:after="0"/>
              <w:rPr>
                <w:sz w:val="19"/>
                <w:szCs w:val="19"/>
                <w:color w:val="auto"/>
              </w:rPr>
            </w:pPr>
          </w:p>
        </w:tc>
        <w:tc>
          <w:tcPr>
            <w:tcW w:w="102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2023</w:t>
            </w:r>
          </w:p>
        </w:tc>
      </w:tr>
      <w:tr>
        <w:trPr>
          <w:trHeight w:val="233"/>
        </w:trPr>
        <w:tc>
          <w:tcPr>
            <w:tcW w:w="65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02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w:t>
            </w:r>
          </w:p>
        </w:tc>
        <w:tc>
          <w:tcPr>
            <w:tcW w:w="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c>
          <w:tcPr>
            <w:tcW w:w="56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230</w:t>
            </w:r>
          </w:p>
        </w:tc>
      </w:tr>
      <w:tr>
        <w:trPr>
          <w:trHeight w:val="228"/>
        </w:trPr>
        <w:tc>
          <w:tcPr>
            <w:tcW w:w="6500" w:type="dxa"/>
            <w:vAlign w:val="bottom"/>
          </w:tcPr>
          <w:p>
            <w:pPr>
              <w:ind w:left="20"/>
              <w:spacing w:after="0"/>
              <w:rPr>
                <w:sz w:val="20"/>
                <w:szCs w:val="20"/>
                <w:color w:val="auto"/>
              </w:rPr>
            </w:pPr>
            <w:r>
              <w:rPr>
                <w:rFonts w:ascii="Arial" w:cs="Arial" w:eastAsia="Arial" w:hAnsi="Arial"/>
                <w:sz w:val="16"/>
                <w:szCs w:val="16"/>
                <w:color w:val="auto"/>
              </w:rPr>
              <w:t>Net income attributable to redeemable noncontrolling interests</w:t>
            </w:r>
          </w:p>
        </w:tc>
        <w:tc>
          <w:tcPr>
            <w:tcW w:w="10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66</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w:t>
            </w: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9"/>
        </w:trPr>
        <w:tc>
          <w:tcPr>
            <w:tcW w:w="6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6500" w:type="dxa"/>
            <w:vAlign w:val="bottom"/>
            <w:shd w:val="clear" w:color="auto" w:fill="E4E4E4"/>
          </w:tcPr>
          <w:p>
            <w:pPr>
              <w:ind w:left="20"/>
              <w:spacing w:after="0"/>
              <w:rPr>
                <w:sz w:val="20"/>
                <w:szCs w:val="20"/>
                <w:color w:val="auto"/>
              </w:rPr>
            </w:pPr>
            <w:r>
              <w:rPr>
                <w:rFonts w:ascii="Arial" w:cs="Arial" w:eastAsia="Arial" w:hAnsi="Arial"/>
                <w:sz w:val="16"/>
                <w:szCs w:val="16"/>
                <w:color w:val="auto"/>
              </w:rPr>
              <w:t>Redemption value adjustments</w:t>
            </w:r>
            <w:r>
              <w:rPr>
                <w:rFonts w:ascii="Arial" w:cs="Arial" w:eastAsia="Arial" w:hAnsi="Arial"/>
                <w:sz w:val="21"/>
                <w:szCs w:val="21"/>
                <w:color w:val="auto"/>
                <w:vertAlign w:val="superscript"/>
              </w:rPr>
              <w:t>(1)</w:t>
            </w:r>
          </w:p>
        </w:tc>
        <w:tc>
          <w:tcPr>
            <w:tcW w:w="1020" w:type="dxa"/>
            <w:vAlign w:val="bottom"/>
            <w:shd w:val="clear" w:color="auto" w:fill="E4E4E4"/>
          </w:tcPr>
          <w:p>
            <w:pPr>
              <w:spacing w:after="0"/>
              <w:rPr>
                <w:sz w:val="22"/>
                <w:szCs w:val="22"/>
                <w:color w:val="auto"/>
              </w:rPr>
            </w:pPr>
          </w:p>
        </w:tc>
        <w:tc>
          <w:tcPr>
            <w:tcW w:w="56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E4E4E4"/>
          </w:tcPr>
          <w:p>
            <w:pPr>
              <w:spacing w:after="0"/>
              <w:rPr>
                <w:sz w:val="22"/>
                <w:szCs w:val="22"/>
                <w:color w:val="auto"/>
              </w:rPr>
            </w:pPr>
          </w:p>
        </w:tc>
        <w:tc>
          <w:tcPr>
            <w:tcW w:w="12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E4E4E4"/>
          </w:tcPr>
          <w:p>
            <w:pPr>
              <w:spacing w:after="0"/>
              <w:rPr>
                <w:sz w:val="22"/>
                <w:szCs w:val="22"/>
                <w:color w:val="auto"/>
              </w:rPr>
            </w:pPr>
          </w:p>
        </w:tc>
        <w:tc>
          <w:tcPr>
            <w:tcW w:w="1020" w:type="dxa"/>
            <w:vAlign w:val="bottom"/>
            <w:shd w:val="clear" w:color="auto" w:fill="E4E4E4"/>
          </w:tcPr>
          <w:p>
            <w:pPr>
              <w:jc w:val="right"/>
              <w:spacing w:after="0"/>
              <w:rPr>
                <w:sz w:val="20"/>
                <w:szCs w:val="20"/>
                <w:color w:val="auto"/>
              </w:rPr>
            </w:pPr>
            <w:r>
              <w:rPr>
                <w:rFonts w:ascii="Arial" w:cs="Arial" w:eastAsia="Arial" w:hAnsi="Arial"/>
                <w:sz w:val="16"/>
                <w:szCs w:val="16"/>
                <w:color w:val="auto"/>
              </w:rPr>
              <w:t>183</w:t>
            </w:r>
          </w:p>
        </w:tc>
      </w:tr>
      <w:tr>
        <w:trPr>
          <w:trHeight w:val="256"/>
        </w:trPr>
        <w:tc>
          <w:tcPr>
            <w:tcW w:w="6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Distributions to redeemable noncontrolling interests and other</w:t>
            </w:r>
            <w:r>
              <w:rPr>
                <w:rFonts w:ascii="Arial" w:cs="Arial" w:eastAsia="Arial" w:hAnsi="Arial"/>
                <w:sz w:val="21"/>
                <w:szCs w:val="21"/>
                <w:color w:val="auto"/>
                <w:vertAlign w:val="superscript"/>
              </w:rPr>
              <w:t>(2)</w:t>
            </w:r>
          </w:p>
        </w:tc>
        <w:tc>
          <w:tcPr>
            <w:tcW w:w="10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5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r>
      <w:tr>
        <w:trPr>
          <w:trHeight w:val="230"/>
        </w:trPr>
        <w:tc>
          <w:tcPr>
            <w:tcW w:w="65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b w:val="1"/>
                <w:bCs w:val="1"/>
                <w:color w:val="auto"/>
              </w:rPr>
              <w:t>Balance at end of period</w:t>
            </w:r>
          </w:p>
        </w:tc>
        <w:tc>
          <w:tcPr>
            <w:tcW w:w="1020" w:type="dxa"/>
            <w:vAlign w:val="bottom"/>
            <w:tcBorders>
              <w:bottom w:val="single" w:sz="8" w:color="E4E4E4"/>
            </w:tcBorders>
            <w:shd w:val="clear" w:color="auto" w:fill="E4E4E4"/>
          </w:tcPr>
          <w:p>
            <w:pPr>
              <w:jc w:val="right"/>
              <w:ind w:right="839"/>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209</w:t>
            </w:r>
          </w:p>
        </w:tc>
        <w:tc>
          <w:tcPr>
            <w:tcW w:w="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188</w:t>
            </w:r>
          </w:p>
        </w:tc>
        <w:tc>
          <w:tcPr>
            <w:tcW w:w="560" w:type="dxa"/>
            <w:vAlign w:val="bottom"/>
            <w:tcBorders>
              <w:bottom w:val="single" w:sz="8" w:color="E4E4E4"/>
            </w:tcBorders>
            <w:shd w:val="clear" w:color="auto" w:fill="E4E4E4"/>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b w:val="1"/>
                <w:bCs w:val="1"/>
                <w:color w:val="auto"/>
              </w:rPr>
              <w:t>165</w:t>
            </w:r>
          </w:p>
        </w:tc>
      </w:tr>
      <w:tr>
        <w:trPr>
          <w:trHeight w:val="20"/>
        </w:trPr>
        <w:tc>
          <w:tcPr>
            <w:tcW w:w="6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80" w:lineRule="exact"/>
        <w:rPr>
          <w:sz w:val="20"/>
          <w:szCs w:val="20"/>
          <w:color w:val="auto"/>
        </w:rPr>
      </w:pPr>
    </w:p>
    <w:p>
      <w:pPr>
        <w:ind w:left="260" w:right="280" w:hanging="252"/>
        <w:spacing w:after="0" w:line="259" w:lineRule="auto"/>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of January 3, 2023, certain redeemable noncontrolling interests were probable of becoming redeemable due to the change of control that occurred upon consummation of the Spin-Off. As a result, these redeemable noncontrolling interests were remeasured to their current redemption value. The remeasurement was accounted for as a deemed preferred stock dividend of redeemable noncontrolling interest and recorded as an adjustment to Retained earnings in the Consolidated Statements of Financial Position.</w:t>
      </w:r>
    </w:p>
    <w:p>
      <w:pPr>
        <w:ind w:left="260" w:right="300" w:hanging="252"/>
        <w:spacing w:after="0" w:line="270" w:lineRule="auto"/>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2023, the redeemable noncontrolling interest holder exercised its option redemption provision and the Company paid a redemption amount of $211 million.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6500" w:type="dxa"/>
            <w:vAlign w:val="bottom"/>
          </w:tcPr>
          <w:p>
            <w:pPr>
              <w:spacing w:after="0"/>
              <w:rPr>
                <w:sz w:val="20"/>
                <w:szCs w:val="20"/>
                <w:color w:val="auto"/>
              </w:rPr>
            </w:pPr>
            <w:r>
              <w:rPr>
                <w:rFonts w:ascii="Arial" w:cs="Arial" w:eastAsia="Arial" w:hAnsi="Arial"/>
                <w:sz w:val="16"/>
                <w:szCs w:val="16"/>
                <w:b w:val="1"/>
                <w:bCs w:val="1"/>
                <w:color w:val="auto"/>
              </w:rPr>
              <w:t xml:space="preserve">OTHER INCOME (EXPENSE) </w:t>
            </w:r>
            <w:r>
              <w:rPr>
                <w:rFonts w:ascii="Arial" w:cs="Arial" w:eastAsia="Arial" w:hAnsi="Arial"/>
                <w:sz w:val="19"/>
                <w:szCs w:val="19"/>
                <w:b w:val="1"/>
                <w:bCs w:val="1"/>
                <w:color w:val="auto"/>
              </w:rPr>
              <w:t>–</w:t>
            </w:r>
            <w:r>
              <w:rPr>
                <w:rFonts w:ascii="Arial" w:cs="Arial" w:eastAsia="Arial" w:hAnsi="Arial"/>
                <w:sz w:val="16"/>
                <w:szCs w:val="16"/>
                <w:b w:val="1"/>
                <w:bCs w:val="1"/>
                <w:color w:val="auto"/>
              </w:rPr>
              <w:t xml:space="preserve"> NET.</w:t>
            </w:r>
          </w:p>
        </w:tc>
        <w:tc>
          <w:tcPr>
            <w:tcW w:w="10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42"/>
        </w:trPr>
        <w:tc>
          <w:tcPr>
            <w:tcW w:w="6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700" w:type="dxa"/>
            <w:vAlign w:val="bottom"/>
            <w:gridSpan w:val="4"/>
          </w:tcPr>
          <w:p>
            <w:pPr>
              <w:jc w:val="right"/>
              <w:spacing w:after="0"/>
              <w:rPr>
                <w:sz w:val="20"/>
                <w:szCs w:val="20"/>
                <w:color w:val="auto"/>
              </w:rPr>
            </w:pPr>
            <w:r>
              <w:rPr>
                <w:rFonts w:ascii="Arial" w:cs="Arial" w:eastAsia="Arial" w:hAnsi="Arial"/>
                <w:sz w:val="16"/>
                <w:szCs w:val="16"/>
                <w:b w:val="1"/>
                <w:bCs w:val="1"/>
                <w:color w:val="454545"/>
              </w:rPr>
              <w:t>For the years ended December 31</w:t>
            </w:r>
          </w:p>
        </w:tc>
        <w:tc>
          <w:tcPr>
            <w:tcW w:w="1000" w:type="dxa"/>
            <w:vAlign w:val="bottom"/>
          </w:tcPr>
          <w:p>
            <w:pPr>
              <w:spacing w:after="0"/>
              <w:rPr>
                <w:sz w:val="21"/>
                <w:szCs w:val="21"/>
                <w:color w:val="auto"/>
              </w:rPr>
            </w:pPr>
          </w:p>
        </w:tc>
      </w:tr>
      <w:tr>
        <w:trPr>
          <w:trHeight w:val="21"/>
        </w:trPr>
        <w:tc>
          <w:tcPr>
            <w:tcW w:w="6500" w:type="dxa"/>
            <w:vAlign w:val="bottom"/>
          </w:tcPr>
          <w:p>
            <w:pPr>
              <w:spacing w:after="0" w:line="20" w:lineRule="exact"/>
              <w:rPr>
                <w:sz w:val="1"/>
                <w:szCs w:val="1"/>
                <w:color w:val="auto"/>
              </w:rPr>
            </w:pPr>
          </w:p>
        </w:tc>
        <w:tc>
          <w:tcPr>
            <w:tcW w:w="1040" w:type="dxa"/>
            <w:vAlign w:val="bottom"/>
            <w:tcBorders>
              <w:bottom w:val="single" w:sz="8" w:color="454545"/>
            </w:tcBorders>
          </w:tcPr>
          <w:p>
            <w:pPr>
              <w:spacing w:after="0" w:line="20" w:lineRule="exact"/>
              <w:rPr>
                <w:sz w:val="1"/>
                <w:szCs w:val="1"/>
                <w:color w:val="auto"/>
              </w:rPr>
            </w:pPr>
          </w:p>
        </w:tc>
        <w:tc>
          <w:tcPr>
            <w:tcW w:w="540" w:type="dxa"/>
            <w:vAlign w:val="bottom"/>
            <w:tcBorders>
              <w:bottom w:val="single" w:sz="8" w:color="454545"/>
            </w:tcBorders>
          </w:tcPr>
          <w:p>
            <w:pPr>
              <w:spacing w:after="0" w:line="20" w:lineRule="exact"/>
              <w:rPr>
                <w:sz w:val="1"/>
                <w:szCs w:val="1"/>
                <w:color w:val="auto"/>
              </w:rPr>
            </w:pPr>
          </w:p>
        </w:tc>
        <w:tc>
          <w:tcPr>
            <w:tcW w:w="360" w:type="dxa"/>
            <w:vAlign w:val="bottom"/>
            <w:tcBorders>
              <w:bottom w:val="single" w:sz="8" w:color="454545"/>
            </w:tcBorders>
          </w:tcPr>
          <w:p>
            <w:pPr>
              <w:spacing w:after="0" w:line="20" w:lineRule="exact"/>
              <w:rPr>
                <w:sz w:val="1"/>
                <w:szCs w:val="1"/>
                <w:color w:val="auto"/>
              </w:rPr>
            </w:pPr>
          </w:p>
        </w:tc>
        <w:tc>
          <w:tcPr>
            <w:tcW w:w="1220" w:type="dxa"/>
            <w:vAlign w:val="bottom"/>
            <w:tcBorders>
              <w:bottom w:val="single" w:sz="8" w:color="454545"/>
            </w:tcBorders>
          </w:tcPr>
          <w:p>
            <w:pPr>
              <w:spacing w:after="0" w:line="20" w:lineRule="exact"/>
              <w:rPr>
                <w:sz w:val="1"/>
                <w:szCs w:val="1"/>
                <w:color w:val="auto"/>
              </w:rPr>
            </w:pPr>
          </w:p>
        </w:tc>
        <w:tc>
          <w:tcPr>
            <w:tcW w:w="580" w:type="dxa"/>
            <w:vAlign w:val="bottom"/>
            <w:tcBorders>
              <w:bottom w:val="single" w:sz="8" w:color="454545"/>
            </w:tcBorders>
          </w:tcPr>
          <w:p>
            <w:pPr>
              <w:spacing w:after="0" w:line="20" w:lineRule="exact"/>
              <w:rPr>
                <w:sz w:val="1"/>
                <w:szCs w:val="1"/>
                <w:color w:val="auto"/>
              </w:rPr>
            </w:pPr>
          </w:p>
        </w:tc>
        <w:tc>
          <w:tcPr>
            <w:tcW w:w="1000" w:type="dxa"/>
            <w:vAlign w:val="bottom"/>
            <w:tcBorders>
              <w:bottom w:val="single" w:sz="8" w:color="454545"/>
            </w:tcBorders>
          </w:tcPr>
          <w:p>
            <w:pPr>
              <w:spacing w:after="0" w:line="20" w:lineRule="exact"/>
              <w:rPr>
                <w:sz w:val="1"/>
                <w:szCs w:val="1"/>
                <w:color w:val="auto"/>
              </w:rPr>
            </w:pPr>
          </w:p>
        </w:tc>
      </w:tr>
      <w:tr>
        <w:trPr>
          <w:trHeight w:val="246"/>
        </w:trPr>
        <w:tc>
          <w:tcPr>
            <w:tcW w:w="6500" w:type="dxa"/>
            <w:vAlign w:val="bottom"/>
            <w:tcBorders>
              <w:bottom w:val="single" w:sz="8" w:color="6022A6"/>
            </w:tcBorders>
          </w:tcPr>
          <w:p>
            <w:pPr>
              <w:spacing w:after="0"/>
              <w:rPr>
                <w:sz w:val="21"/>
                <w:szCs w:val="21"/>
                <w:color w:val="auto"/>
              </w:rPr>
            </w:pPr>
          </w:p>
        </w:tc>
        <w:tc>
          <w:tcPr>
            <w:tcW w:w="1040" w:type="dxa"/>
            <w:vAlign w:val="bottom"/>
            <w:tcBorders>
              <w:bottom w:val="single" w:sz="8" w:color="6022A6"/>
            </w:tcBorders>
          </w:tcPr>
          <w:p>
            <w:pPr>
              <w:jc w:val="right"/>
              <w:spacing w:after="0"/>
              <w:rPr>
                <w:sz w:val="20"/>
                <w:szCs w:val="20"/>
                <w:color w:val="auto"/>
              </w:rPr>
            </w:pPr>
            <w:r>
              <w:rPr>
                <w:rFonts w:ascii="Arial" w:cs="Arial" w:eastAsia="Arial" w:hAnsi="Arial"/>
                <w:sz w:val="16"/>
                <w:szCs w:val="16"/>
                <w:b w:val="1"/>
                <w:bCs w:val="1"/>
                <w:color w:val="454545"/>
              </w:rPr>
              <w:t>2025</w:t>
            </w:r>
          </w:p>
        </w:tc>
        <w:tc>
          <w:tcPr>
            <w:tcW w:w="540" w:type="dxa"/>
            <w:vAlign w:val="bottom"/>
            <w:tcBorders>
              <w:bottom w:val="single" w:sz="8" w:color="6022A6"/>
            </w:tcBorders>
          </w:tcPr>
          <w:p>
            <w:pPr>
              <w:spacing w:after="0"/>
              <w:rPr>
                <w:sz w:val="21"/>
                <w:szCs w:val="21"/>
                <w:color w:val="auto"/>
              </w:rPr>
            </w:pPr>
          </w:p>
        </w:tc>
        <w:tc>
          <w:tcPr>
            <w:tcW w:w="360" w:type="dxa"/>
            <w:vAlign w:val="bottom"/>
            <w:tcBorders>
              <w:bottom w:val="single" w:sz="8" w:color="6022A6"/>
            </w:tcBorders>
          </w:tcPr>
          <w:p>
            <w:pPr>
              <w:spacing w:after="0"/>
              <w:rPr>
                <w:sz w:val="21"/>
                <w:szCs w:val="21"/>
                <w:color w:val="auto"/>
              </w:rPr>
            </w:pPr>
          </w:p>
        </w:tc>
        <w:tc>
          <w:tcPr>
            <w:tcW w:w="122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2024</w:t>
            </w:r>
          </w:p>
        </w:tc>
        <w:tc>
          <w:tcPr>
            <w:tcW w:w="580" w:type="dxa"/>
            <w:vAlign w:val="bottom"/>
            <w:tcBorders>
              <w:bottom w:val="single" w:sz="8" w:color="6022A6"/>
            </w:tcBorders>
          </w:tcPr>
          <w:p>
            <w:pPr>
              <w:spacing w:after="0"/>
              <w:rPr>
                <w:sz w:val="21"/>
                <w:szCs w:val="21"/>
                <w:color w:val="auto"/>
              </w:rPr>
            </w:pPr>
          </w:p>
        </w:tc>
        <w:tc>
          <w:tcPr>
            <w:tcW w:w="1000" w:type="dxa"/>
            <w:vAlign w:val="bottom"/>
            <w:tcBorders>
              <w:bottom w:val="single" w:sz="8" w:color="6022A6"/>
            </w:tcBorders>
          </w:tcPr>
          <w:p>
            <w:pPr>
              <w:jc w:val="right"/>
              <w:ind w:right="519"/>
              <w:spacing w:after="0"/>
              <w:rPr>
                <w:sz w:val="20"/>
                <w:szCs w:val="20"/>
                <w:color w:val="auto"/>
              </w:rPr>
            </w:pPr>
            <w:r>
              <w:rPr>
                <w:rFonts w:ascii="Arial" w:cs="Arial" w:eastAsia="Arial" w:hAnsi="Arial"/>
                <w:sz w:val="16"/>
                <w:szCs w:val="16"/>
                <w:b w:val="1"/>
                <w:bCs w:val="1"/>
                <w:color w:val="454545"/>
              </w:rPr>
              <w:t>2023</w:t>
            </w:r>
          </w:p>
        </w:tc>
      </w:tr>
      <w:tr>
        <w:trPr>
          <w:trHeight w:val="234"/>
        </w:trPr>
        <w:tc>
          <w:tcPr>
            <w:tcW w:w="65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Net financing income and investment income (loss)</w:t>
            </w:r>
          </w:p>
        </w:tc>
        <w:tc>
          <w:tcPr>
            <w:tcW w:w="1040" w:type="dxa"/>
            <w:vAlign w:val="bottom"/>
            <w:tcBorders>
              <w:bottom w:val="single" w:sz="8" w:color="E4E4E4"/>
            </w:tcBorders>
            <w:shd w:val="clear" w:color="auto" w:fill="E4E4E4"/>
          </w:tcPr>
          <w:p>
            <w:pPr>
              <w:jc w:val="right"/>
              <w:ind w:right="85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41</w:t>
            </w:r>
          </w:p>
        </w:tc>
        <w:tc>
          <w:tcPr>
            <w:tcW w:w="360" w:type="dxa"/>
            <w:vAlign w:val="bottom"/>
            <w:tcBorders>
              <w:bottom w:val="single" w:sz="8" w:color="E4E4E4"/>
            </w:tcBorders>
            <w:shd w:val="clear" w:color="auto" w:fill="E4E4E4"/>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(1)</w:t>
            </w:r>
          </w:p>
        </w:tc>
        <w:tc>
          <w:tcPr>
            <w:tcW w:w="580" w:type="dxa"/>
            <w:vAlign w:val="bottom"/>
            <w:tcBorders>
              <w:bottom w:val="single" w:sz="8" w:color="E4E4E4"/>
            </w:tcBorders>
            <w:shd w:val="clear" w:color="auto" w:fill="E4E4E4"/>
          </w:tcPr>
          <w:p>
            <w:pPr>
              <w:jc w:val="right"/>
              <w:ind w:right="3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26</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Equity method income (loss)</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8"/>
        </w:trPr>
        <w:tc>
          <w:tcPr>
            <w:tcW w:w="6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6500" w:type="dxa"/>
            <w:vAlign w:val="bottom"/>
            <w:tcBorders>
              <w:bottom w:val="single" w:sz="8" w:color="E4E4E4"/>
            </w:tcBorders>
            <w:shd w:val="clear" w:color="auto" w:fill="E4E4E4"/>
          </w:tcPr>
          <w:p>
            <w:pPr>
              <w:ind w:left="20"/>
              <w:spacing w:after="0"/>
              <w:rPr>
                <w:sz w:val="20"/>
                <w:szCs w:val="20"/>
                <w:color w:val="auto"/>
              </w:rPr>
            </w:pPr>
            <w:r>
              <w:rPr>
                <w:rFonts w:ascii="Arial" w:cs="Arial" w:eastAsia="Arial" w:hAnsi="Arial"/>
                <w:sz w:val="16"/>
                <w:szCs w:val="16"/>
                <w:color w:val="auto"/>
              </w:rPr>
              <w:t>Change in fair value of assumed obligations</w:t>
            </w:r>
          </w:p>
        </w:tc>
        <w:tc>
          <w:tcPr>
            <w:tcW w:w="1040" w:type="dxa"/>
            <w:vAlign w:val="bottom"/>
            <w:tcBorders>
              <w:bottom w:val="single" w:sz="8" w:color="E4E4E4"/>
            </w:tcBorders>
            <w:shd w:val="clear" w:color="auto" w:fill="E4E4E4"/>
          </w:tcPr>
          <w:p>
            <w:pPr>
              <w:spacing w:after="0"/>
              <w:rPr>
                <w:sz w:val="20"/>
                <w:szCs w:val="20"/>
                <w:color w:val="auto"/>
              </w:rPr>
            </w:pPr>
          </w:p>
        </w:tc>
        <w:tc>
          <w:tcPr>
            <w:tcW w:w="54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(30)</w:t>
            </w:r>
          </w:p>
        </w:tc>
        <w:tc>
          <w:tcPr>
            <w:tcW w:w="360" w:type="dxa"/>
            <w:vAlign w:val="bottom"/>
            <w:tcBorders>
              <w:bottom w:val="single" w:sz="8" w:color="E4E4E4"/>
            </w:tcBorders>
            <w:shd w:val="clear" w:color="auto" w:fill="E4E4E4"/>
          </w:tcPr>
          <w:p>
            <w:pPr>
              <w:spacing w:after="0"/>
              <w:rPr>
                <w:sz w:val="20"/>
                <w:szCs w:val="20"/>
                <w:color w:val="auto"/>
              </w:rPr>
            </w:pPr>
          </w:p>
        </w:tc>
        <w:tc>
          <w:tcPr>
            <w:tcW w:w="122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c>
          <w:tcPr>
            <w:tcW w:w="580" w:type="dxa"/>
            <w:vAlign w:val="bottom"/>
            <w:tcBorders>
              <w:bottom w:val="single" w:sz="8" w:color="E4E4E4"/>
            </w:tcBorders>
            <w:shd w:val="clear" w:color="auto" w:fill="E4E4E4"/>
          </w:tcPr>
          <w:p>
            <w:pPr>
              <w:spacing w:after="0"/>
              <w:rPr>
                <w:sz w:val="20"/>
                <w:szCs w:val="20"/>
                <w:color w:val="auto"/>
              </w:rPr>
            </w:pPr>
          </w:p>
        </w:tc>
        <w:tc>
          <w:tcPr>
            <w:tcW w:w="1000" w:type="dxa"/>
            <w:vAlign w:val="bottom"/>
            <w:tcBorders>
              <w:bottom w:val="single" w:sz="8" w:color="E4E4E4"/>
            </w:tcBorders>
            <w:shd w:val="clear" w:color="auto" w:fill="E4E4E4"/>
          </w:tcPr>
          <w:p>
            <w:pPr>
              <w:jc w:val="right"/>
              <w:spacing w:after="0"/>
              <w:rPr>
                <w:sz w:val="20"/>
                <w:szCs w:val="20"/>
                <w:color w:val="auto"/>
              </w:rPr>
            </w:pPr>
            <w:r>
              <w:rPr>
                <w:rFonts w:ascii="Arial" w:cs="Arial" w:eastAsia="Arial" w:hAnsi="Arial"/>
                <w:sz w:val="16"/>
                <w:szCs w:val="16"/>
                <w:color w:val="auto"/>
              </w:rPr>
              <w:t>(32)</w:t>
            </w:r>
          </w:p>
        </w:tc>
      </w:tr>
      <w:tr>
        <w:trPr>
          <w:trHeight w:val="243"/>
        </w:trPr>
        <w:tc>
          <w:tcPr>
            <w:tcW w:w="6500" w:type="dxa"/>
            <w:vAlign w:val="bottom"/>
          </w:tcPr>
          <w:p>
            <w:pPr>
              <w:ind w:left="20"/>
              <w:spacing w:after="0"/>
              <w:rPr>
                <w:sz w:val="20"/>
                <w:szCs w:val="20"/>
                <w:color w:val="auto"/>
              </w:rPr>
            </w:pPr>
            <w:r>
              <w:rPr>
                <w:rFonts w:ascii="Arial" w:cs="Arial" w:eastAsia="Arial" w:hAnsi="Arial"/>
                <w:sz w:val="16"/>
                <w:szCs w:val="16"/>
                <w:color w:val="auto"/>
              </w:rPr>
              <w:t>Gain on remeasurement of NMP equity method investment</w:t>
            </w:r>
            <w:r>
              <w:rPr>
                <w:rFonts w:ascii="Arial" w:cs="Arial" w:eastAsia="Arial" w:hAnsi="Arial"/>
                <w:sz w:val="21"/>
                <w:szCs w:val="21"/>
                <w:color w:val="auto"/>
                <w:vertAlign w:val="superscript"/>
              </w:rPr>
              <w:t>(1)</w:t>
            </w:r>
          </w:p>
        </w:tc>
        <w:tc>
          <w:tcPr>
            <w:tcW w:w="10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500" w:type="dxa"/>
            <w:vAlign w:val="bottom"/>
            <w:tcBorders>
              <w:bottom w:val="single" w:sz="8" w:color="auto"/>
            </w:tcBorders>
            <w:shd w:val="clear" w:color="auto" w:fill="E4E4E4"/>
          </w:tcPr>
          <w:p>
            <w:pPr>
              <w:ind w:left="20"/>
              <w:spacing w:after="0"/>
              <w:rPr>
                <w:sz w:val="20"/>
                <w:szCs w:val="20"/>
                <w:color w:val="auto"/>
              </w:rPr>
            </w:pPr>
            <w:r>
              <w:rPr>
                <w:rFonts w:ascii="Arial" w:cs="Arial" w:eastAsia="Arial" w:hAnsi="Arial"/>
                <w:sz w:val="16"/>
                <w:szCs w:val="16"/>
                <w:color w:val="auto"/>
              </w:rPr>
              <w:t>Other items, net</w:t>
            </w:r>
            <w:r>
              <w:rPr>
                <w:rFonts w:ascii="Arial" w:cs="Arial" w:eastAsia="Arial" w:hAnsi="Arial"/>
                <w:sz w:val="21"/>
                <w:szCs w:val="21"/>
                <w:color w:val="auto"/>
                <w:vertAlign w:val="superscript"/>
              </w:rPr>
              <w:t>(2)</w:t>
            </w:r>
          </w:p>
        </w:tc>
        <w:tc>
          <w:tcPr>
            <w:tcW w:w="1040" w:type="dxa"/>
            <w:vAlign w:val="bottom"/>
            <w:tcBorders>
              <w:bottom w:val="single" w:sz="8" w:color="auto"/>
            </w:tcBorders>
            <w:shd w:val="clear" w:color="auto" w:fill="E4E4E4"/>
          </w:tcPr>
          <w:p>
            <w:pPr>
              <w:spacing w:after="0"/>
              <w:rPr>
                <w:sz w:val="21"/>
                <w:szCs w:val="21"/>
                <w:color w:val="auto"/>
              </w:rPr>
            </w:pPr>
          </w:p>
        </w:tc>
        <w:tc>
          <w:tcPr>
            <w:tcW w:w="54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46</w:t>
            </w:r>
          </w:p>
        </w:tc>
        <w:tc>
          <w:tcPr>
            <w:tcW w:w="360" w:type="dxa"/>
            <w:vAlign w:val="bottom"/>
            <w:tcBorders>
              <w:bottom w:val="single" w:sz="8" w:color="auto"/>
            </w:tcBorders>
            <w:shd w:val="clear" w:color="auto" w:fill="E4E4E4"/>
          </w:tcPr>
          <w:p>
            <w:pPr>
              <w:spacing w:after="0"/>
              <w:rPr>
                <w:sz w:val="21"/>
                <w:szCs w:val="21"/>
                <w:color w:val="auto"/>
              </w:rPr>
            </w:pPr>
          </w:p>
        </w:tc>
        <w:tc>
          <w:tcPr>
            <w:tcW w:w="122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80</w:t>
            </w:r>
          </w:p>
        </w:tc>
        <w:tc>
          <w:tcPr>
            <w:tcW w:w="580" w:type="dxa"/>
            <w:vAlign w:val="bottom"/>
            <w:tcBorders>
              <w:bottom w:val="single" w:sz="8" w:color="auto"/>
            </w:tcBorders>
            <w:shd w:val="clear" w:color="auto" w:fill="E4E4E4"/>
          </w:tcPr>
          <w:p>
            <w:pPr>
              <w:spacing w:after="0"/>
              <w:rPr>
                <w:sz w:val="21"/>
                <w:szCs w:val="21"/>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Arial" w:cs="Arial" w:eastAsia="Arial" w:hAnsi="Arial"/>
                <w:sz w:val="16"/>
                <w:szCs w:val="16"/>
                <w:color w:val="auto"/>
              </w:rPr>
              <w:t>81</w:t>
            </w:r>
          </w:p>
        </w:tc>
      </w:tr>
      <w:tr>
        <w:trPr>
          <w:trHeight w:val="229"/>
        </w:trPr>
        <w:tc>
          <w:tcPr>
            <w:tcW w:w="6500" w:type="dxa"/>
            <w:vAlign w:val="bottom"/>
          </w:tcPr>
          <w:p>
            <w:pPr>
              <w:ind w:left="20"/>
              <w:spacing w:after="0"/>
              <w:rPr>
                <w:sz w:val="20"/>
                <w:szCs w:val="20"/>
                <w:color w:val="auto"/>
              </w:rPr>
            </w:pPr>
            <w:r>
              <w:rPr>
                <w:rFonts w:ascii="Arial" w:cs="Arial" w:eastAsia="Arial" w:hAnsi="Arial"/>
                <w:sz w:val="16"/>
                <w:szCs w:val="16"/>
                <w:b w:val="1"/>
                <w:bCs w:val="1"/>
                <w:color w:val="auto"/>
              </w:rPr>
              <w:t>Total other income (expense) – net</w:t>
            </w:r>
          </w:p>
        </w:tc>
        <w:tc>
          <w:tcPr>
            <w:tcW w:w="1040" w:type="dxa"/>
            <w:vAlign w:val="bottom"/>
          </w:tcPr>
          <w:p>
            <w:pPr>
              <w:jc w:val="right"/>
              <w:ind w:right="859"/>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157</w:t>
            </w:r>
          </w:p>
        </w:tc>
        <w:tc>
          <w:tcPr>
            <w:tcW w:w="360" w:type="dxa"/>
            <w:vAlign w:val="bottom"/>
          </w:tcPr>
          <w:p>
            <w:pPr>
              <w:jc w:val="right"/>
              <w:ind w:right="179"/>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55</w:t>
            </w:r>
          </w:p>
        </w:tc>
        <w:tc>
          <w:tcPr>
            <w:tcW w:w="580" w:type="dxa"/>
            <w:vAlign w:val="bottom"/>
          </w:tcPr>
          <w:p>
            <w:pPr>
              <w:jc w:val="right"/>
              <w:ind w:right="39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86</w:t>
            </w:r>
          </w:p>
        </w:tc>
      </w:tr>
      <w:tr>
        <w:trPr>
          <w:trHeight w:val="21"/>
        </w:trPr>
        <w:tc>
          <w:tcPr>
            <w:tcW w:w="6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260" w:right="380" w:hanging="252"/>
        <w:spacing w:after="0" w:line="263" w:lineRule="auto"/>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During the year ended December 31, 2025, the Company acquired its remaining interest in NMP. Refer to Note 8, “Acquisitions, Goodwill, and Other Intangible Assets” for additional information on the NMP acquisition.</w:t>
      </w:r>
    </w:p>
    <w:p>
      <w:pPr>
        <w:ind w:left="260" w:right="160" w:hanging="252"/>
        <w:spacing w:after="0" w:line="270" w:lineRule="auto"/>
        <w:tabs>
          <w:tab w:leader="none" w:pos="2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Other items, net primarily consists of a mix of licensing and royalty income, government grants, lease income, change in tax indemnities, and gains and losses related to derivatives. Additionally, for the year ended December 31, 2025 it includes a realization of a gain contingency.</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RELATED PARTIES AND TRANSITION SERVICES AGREEMENT</w:t>
      </w:r>
    </w:p>
    <w:p>
      <w:pPr>
        <w:spacing w:after="0" w:line="257"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On January 3, 2023, GE completed the Spin-Off of GE HealthCare through a distribution of approximately 80.1% of the Company’s outstanding common stock to holders of record of GE’s common stock as of the close of business on December 16, 2022 (the “Distribution”). On April 2, 2024, GE completed the separation of its GE Vernova business into an independent publicly traded company. As of December 31, 2024, GE had sold the rest of its remaining ownership of the Company’s outstanding common stock. Following the share sell-down, GE continues to be considered a related party due to board member affiliation.</w:t>
      </w:r>
    </w:p>
    <w:p>
      <w:pPr>
        <w:spacing w:after="0" w:line="199"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In connection with the Spin-Off, certain adjustments were recorded to reflect transfers from GE, the draw-down of the Term Loan Facility, and settlement of Spin-Off transactions with GE, which resulted in the net reduction in Total equity of $2,849 million for the year ended December 31, 2023. These items substantially consisted of the transfer of certain pension plan liabilities and assets, certain deferred income taxes, deferred compensation liabilities, and employee termination obligations.</w:t>
      </w:r>
    </w:p>
    <w:p>
      <w:pPr>
        <w:spacing w:after="0" w:line="213"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Also in connection with the Spin-Off, the Company entered into or adopted several agreements that provide a framework for the relationship between the Company and GE.</w:t>
      </w:r>
    </w:p>
    <w:p>
      <w:pPr>
        <w:spacing w:after="0" w:line="183" w:lineRule="exact"/>
        <w:rPr>
          <w:sz w:val="20"/>
          <w:szCs w:val="20"/>
          <w:color w:val="auto"/>
        </w:rPr>
      </w:pPr>
    </w:p>
    <w:p>
      <w:pPr>
        <w:ind w:left="660" w:right="100" w:hanging="328"/>
        <w:spacing w:after="0" w:line="275" w:lineRule="auto"/>
        <w:tabs>
          <w:tab w:leader="none" w:pos="649"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Separation and Distribution Agreement </w:t>
      </w:r>
      <w:r>
        <w:rPr>
          <w:rFonts w:ascii="Arial" w:cs="Arial" w:eastAsia="Arial" w:hAnsi="Arial"/>
          <w:sz w:val="16"/>
          <w:szCs w:val="16"/>
          <w:color w:val="auto"/>
        </w:rPr>
        <w:t>– sets forth the principal actions to be taken in connection with the Spin-Off, including the transfer of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assumption of liabilities, and establishes certain rights and obligations between the Company and GE following the Distribution, including procedures with respect to claims subject to indemnification and related matters.</w:t>
      </w:r>
    </w:p>
    <w:p>
      <w:pPr>
        <w:spacing w:after="0" w:line="42" w:lineRule="exact"/>
        <w:rPr>
          <w:rFonts w:ascii="Arial" w:cs="Arial" w:eastAsia="Arial" w:hAnsi="Arial"/>
          <w:sz w:val="16"/>
          <w:szCs w:val="16"/>
          <w:color w:val="auto"/>
        </w:rPr>
      </w:pPr>
    </w:p>
    <w:p>
      <w:pPr>
        <w:ind w:left="660" w:right="60" w:hanging="328"/>
        <w:spacing w:after="0" w:line="262" w:lineRule="auto"/>
        <w:tabs>
          <w:tab w:leader="none" w:pos="649"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 governed all matters relating to the provision of shared services between the Company and GE on a transitional</w:t>
      </w:r>
      <w:r>
        <w:rPr>
          <w:rFonts w:ascii="Arial" w:cs="Arial" w:eastAsia="Arial" w:hAnsi="Arial"/>
          <w:sz w:val="16"/>
          <w:szCs w:val="16"/>
          <w:i w:val="1"/>
          <w:iCs w:val="1"/>
          <w:color w:val="auto"/>
        </w:rPr>
        <w:t xml:space="preserve"> </w:t>
      </w:r>
      <w:r>
        <w:rPr>
          <w:rFonts w:ascii="Arial" w:cs="Arial" w:eastAsia="Arial" w:hAnsi="Arial"/>
          <w:sz w:val="16"/>
          <w:szCs w:val="16"/>
          <w:color w:val="auto"/>
        </w:rPr>
        <w:t>basis. The services the Company received included support for information technology, human resources, supply chain, finance, and facilities services, among others. The services generally commenced on the date of the Spin-Off and terminated in the 24 months following the Distribution Date depending upon the related transitional service. Net costs incurred were not significant for the year ended December 31, 2025, and we incurred $172 million, net, and $372 million, net, for the years ended December 31, 2024 and 2023, respectively, under this agreement. These amounts represent fees charged from GE and GE Vernova to the Company, the majority of which are related to information technology, and are net of fees charged from the Company to GE and GE Vernova for facilities and other shared services.</w:t>
      </w:r>
    </w:p>
    <w:p>
      <w:pPr>
        <w:spacing w:after="0" w:line="52" w:lineRule="exact"/>
        <w:rPr>
          <w:rFonts w:ascii="Arial" w:cs="Arial" w:eastAsia="Arial" w:hAnsi="Arial"/>
          <w:sz w:val="16"/>
          <w:szCs w:val="16"/>
          <w:color w:val="auto"/>
        </w:rPr>
      </w:pPr>
    </w:p>
    <w:p>
      <w:pPr>
        <w:ind w:left="660" w:right="100" w:hanging="328"/>
        <w:spacing w:after="0" w:line="257" w:lineRule="auto"/>
        <w:tabs>
          <w:tab w:leader="none" w:pos="649"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Tax Matters Agreement </w:t>
      </w:r>
      <w:r>
        <w:rPr>
          <w:rFonts w:ascii="Arial" w:cs="Arial" w:eastAsia="Arial" w:hAnsi="Arial"/>
          <w:sz w:val="16"/>
          <w:szCs w:val="16"/>
          <w:color w:val="auto"/>
        </w:rPr>
        <w:t>– governs the respective rights, responsibilities, and obligations between the Company and GE with respect to all tax</w:t>
      </w:r>
      <w:r>
        <w:rPr>
          <w:rFonts w:ascii="Arial" w:cs="Arial" w:eastAsia="Arial" w:hAnsi="Arial"/>
          <w:sz w:val="16"/>
          <w:szCs w:val="16"/>
          <w:i w:val="1"/>
          <w:iCs w:val="1"/>
          <w:color w:val="auto"/>
        </w:rPr>
        <w:t xml:space="preserve"> </w:t>
      </w:r>
      <w:r>
        <w:rPr>
          <w:rFonts w:ascii="Arial" w:cs="Arial" w:eastAsia="Arial" w:hAnsi="Arial"/>
          <w:sz w:val="16"/>
          <w:szCs w:val="16"/>
          <w:color w:val="auto"/>
        </w:rPr>
        <w:t>matters (excluding employee-related taxes covered under the Employee Matters Agreement), in addition to certain restrictions which generally prohibited us from taking or failing to take any action in the two-year period following the Distribution that would have prevented the Distribution from qualifying as tax-free for U.S. federal income tax purposes, including limitations on our ability to pursue certain strategic transactions. The Tax Matters Agreement specifies the portion of tax liability, including certain pre-Spin-Off tax obligations attributable to the Company that may result from audit or other tax proceedings, for which the Company will bear contractual responsibility, and the Company and GE each agree to indemnify each other against any amounts for which such indemnified party is not responsible. The resolution of pre-Spin-Off tax obligations may result in changes to our unrecognized tax benefits and indemnity obligations.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SUBSEQUENT EVENTS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On January 2, 2026, we repaid $500 million of the remaining Term Loan Facility upon maturity.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the supervision and with the participation of the Company’s management, including the Chief Executive Officer and Chief Financial Officer, the Company evaluated its disclosure controls and procedures as defined in Rules 13a-15(e) and 15d-15(e) under the Exchange Act. Based on this evaluation, the Chief Executive Officer and Chief Financial Officer concluded that the Company’s disclosure controls and procedures were effective as of December 31, 2025, and that the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24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Management has evaluated the effectiveness of the internal control over financial reporting, based on the framework and criteria established in Internal Control – Integrated Framework (2013) issued by the Committee of Sponsoring Organizations of the Treadway Commission, and concluded that they were effective as of December 31, 2025. All internal control systems have inherent limitations; as such, they may not prevent or detect all misstatements or fraud. Therefore, even those internal control systems determined to be effective can provide only reasonable assurance with respect to financial statements preparation and reporting. Additionally, projections of any evaluation of effectiveness to future periods are subject to the risk that the current control structure may become inadequate for changes in conditions or the degree of compliance with the policies may deteriorate.</w:t>
      </w:r>
    </w:p>
    <w:p>
      <w:pPr>
        <w:spacing w:after="0" w:line="201"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effectiveness of such controls has been audited by Deloitte &amp; Touche LLP, our independent registered public accounting firm, as stated in their report included in Item 8, “Financial Statements and Supplementary Data” of this Annual Report on Form 10-K.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4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During the quarter ended December 31, 2025, there were no changes in the Company’s internal control over financial reporting that materially affected or are reasonably likely to materially affect the Company’s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AND OFFICER TRADING ARRANGEMENTS.</w:t>
      </w:r>
    </w:p>
    <w:p>
      <w:pPr>
        <w:spacing w:after="0" w:line="2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None of our directors or executive officers adopted or terminated a Rule 10b5-1 trading arrangement or a non-Rule 10b5-1 trading arrangement (as defined in Item 408(c) of Regulation S-K) during the quarterly period covered by this report.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information required under this item, with the exception of “Information About Our Executive Officers” and “Ethics and Governance” located under Item 1, “Business” of this Annual Report on Form 10-K, is incorporated by reference to the Company’s definitive proxy statement pursuant to Regulation 14A, which will be filed with the Securities and Exchange Commission no later than 120 days after the close of the Company’s fiscal year ended December 31, 2025.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7"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2025.</w:t>
      </w:r>
    </w:p>
    <w:p>
      <w:pPr>
        <w:spacing w:after="0" w:line="164" w:lineRule="exact"/>
        <w:rPr>
          <w:sz w:val="20"/>
          <w:szCs w:val="20"/>
          <w:color w:val="auto"/>
        </w:rPr>
      </w:pPr>
    </w:p>
    <w:p>
      <w:pPr>
        <w:ind w:right="580"/>
        <w:spacing w:after="0" w:line="296"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information required under this item is incorporated by reference to the Company’s definitive proxy statement pursuant to Regulation 14A, which will be filed with the Securities and Exchange Commission no later than 120 days after the close of the Company’s fiscal year ended December 31, 2025.</w:t>
      </w:r>
    </w:p>
    <w:p>
      <w:pPr>
        <w:sectPr>
          <w:pgSz w:w="11900" w:h="16838" w:orient="portrait"/>
          <w:cols w:equalWidth="0" w:num="1">
            <w:col w:w="11120"/>
          </w:cols>
          <w:pgMar w:left="320" w:top="13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type w:val="continuous"/>
        </w:sectPr>
      </w:pPr>
    </w:p>
    <w:bookmarkStart w:id="104" w:name="page105"/>
    <w:bookmarkEnd w:id="104"/>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Refer to Item 8, “Financial Statements and Supplementary Data” for a listing of our financial statements.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SCHEDULES.</w:t>
      </w:r>
    </w:p>
    <w:p>
      <w:pPr>
        <w:spacing w:after="0" w:line="248"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Schedules required by Regulation S-X (17 CFR 210) are omitted because they are either not applicable or the financial information is already included within the financial statements or notes thereto.</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w:t>
      </w:r>
    </w:p>
    <w:p>
      <w:pPr>
        <w:spacing w:after="0" w:line="302" w:lineRule="exact"/>
        <w:rPr>
          <w:sz w:val="20"/>
          <w:szCs w:val="20"/>
          <w:color w:val="auto"/>
        </w:rPr>
      </w:pPr>
    </w:p>
    <w:p>
      <w:pPr>
        <w:ind w:left="220"/>
        <w:spacing w:after="0"/>
        <w:tabs>
          <w:tab w:leader="none" w:pos="1000" w:val="left"/>
        </w:tabs>
        <w:rPr>
          <w:sz w:val="20"/>
          <w:szCs w:val="20"/>
          <w:color w:val="auto"/>
        </w:rPr>
      </w:pPr>
      <w:r>
        <w:rPr>
          <w:rFonts w:ascii="Arial" w:cs="Arial" w:eastAsia="Arial" w:hAnsi="Arial"/>
          <w:sz w:val="16"/>
          <w:szCs w:val="16"/>
          <w:b w:val="1"/>
          <w:bCs w:val="1"/>
          <w:color w:val="454545"/>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38100</wp:posOffset>
            </wp:positionV>
            <wp:extent cx="7098030" cy="3003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98030" cy="30035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p>
      <w:pPr>
        <w:spacing w:after="0" w:line="18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2.1</w:t>
      </w:r>
    </w:p>
    <w:p>
      <w:pPr>
        <w:spacing w:after="0" w:line="275"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3.1</w:t>
      </w:r>
    </w:p>
    <w:p>
      <w:pPr>
        <w:spacing w:after="0" w:line="275"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220"/>
        <w:spacing w:after="0" w:line="299" w:lineRule="auto"/>
        <w:rPr>
          <w:rFonts w:ascii="Arial" w:cs="Arial" w:eastAsia="Arial" w:hAnsi="Arial"/>
          <w:sz w:val="16"/>
          <w:szCs w:val="16"/>
          <w:color w:val="0000FF"/>
        </w:rPr>
      </w:pPr>
      <w:hyperlink r:id="rId131">
        <w:r>
          <w:rPr>
            <w:rFonts w:ascii="Arial" w:cs="Arial" w:eastAsia="Arial" w:hAnsi="Arial"/>
            <w:sz w:val="16"/>
            <w:szCs w:val="16"/>
            <w:u w:val="single" w:color="auto"/>
            <w:color w:val="0000FF"/>
          </w:rPr>
          <w:t>Separation and Distribution Agreement, dated November 7, 2022, by and between General Electric Company and the Registrant, as</w:t>
        </w:r>
      </w:hyperlink>
      <w:r>
        <w:rPr>
          <w:rFonts w:ascii="Arial" w:cs="Arial" w:eastAsia="Arial" w:hAnsi="Arial"/>
          <w:sz w:val="16"/>
          <w:szCs w:val="16"/>
          <w:u w:val="single" w:color="auto"/>
          <w:color w:val="0000FF"/>
        </w:rPr>
        <w:t xml:space="preserve"> </w:t>
      </w:r>
      <w:hyperlink r:id="rId131">
        <w:r>
          <w:rPr>
            <w:rFonts w:ascii="Arial" w:cs="Arial" w:eastAsia="Arial" w:hAnsi="Arial"/>
            <w:sz w:val="16"/>
            <w:szCs w:val="16"/>
            <w:u w:val="single" w:color="auto"/>
            <w:color w:val="0000FF"/>
          </w:rPr>
          <w:t>amended (incorporated by reference to Exhibit 2.1 to the Registrant’s Current Report on Form 8-K filed with the SEC on January 4, 2023).</w:t>
        </w:r>
      </w:hyperlink>
      <w:r>
        <w:rPr>
          <w:rFonts w:ascii="Arial" w:cs="Arial" w:eastAsia="Arial" w:hAnsi="Arial"/>
          <w:sz w:val="16"/>
          <w:szCs w:val="16"/>
          <w:color w:val="000000"/>
        </w:rPr>
        <w:t>†</w:t>
      </w:r>
    </w:p>
    <w:p>
      <w:pPr>
        <w:spacing w:after="0" w:line="1" w:lineRule="exact"/>
        <w:rPr>
          <w:sz w:val="20"/>
          <w:szCs w:val="20"/>
          <w:color w:val="auto"/>
        </w:rPr>
      </w:pPr>
    </w:p>
    <w:p>
      <w:pPr>
        <w:ind w:right="40"/>
        <w:spacing w:after="0" w:line="299" w:lineRule="auto"/>
        <w:rPr>
          <w:rFonts w:ascii="Arial" w:cs="Arial" w:eastAsia="Arial" w:hAnsi="Arial"/>
          <w:sz w:val="16"/>
          <w:szCs w:val="16"/>
          <w:u w:val="single" w:color="auto"/>
          <w:color w:val="0000FF"/>
        </w:rPr>
      </w:pPr>
      <w:hyperlink r:id="rId132">
        <w:r>
          <w:rPr>
            <w:rFonts w:ascii="Arial" w:cs="Arial" w:eastAsia="Arial" w:hAnsi="Arial"/>
            <w:sz w:val="16"/>
            <w:szCs w:val="16"/>
            <w:u w:val="single" w:color="auto"/>
            <w:color w:val="0000FF"/>
          </w:rPr>
          <w:t>Certificate of Incorporation of the Registrant (incorporated by reference to Exhibit 3.1 to the Registrant’s Current Report on Form 8-K filed with</w:t>
        </w:r>
      </w:hyperlink>
      <w:r>
        <w:rPr>
          <w:rFonts w:ascii="Arial" w:cs="Arial" w:eastAsia="Arial" w:hAnsi="Arial"/>
          <w:sz w:val="16"/>
          <w:szCs w:val="16"/>
          <w:u w:val="single" w:color="auto"/>
          <w:color w:val="0000FF"/>
        </w:rPr>
        <w:t xml:space="preserve"> </w:t>
      </w:r>
      <w:hyperlink r:id="rId132">
        <w:r>
          <w:rPr>
            <w:rFonts w:ascii="Arial" w:cs="Arial" w:eastAsia="Arial" w:hAnsi="Arial"/>
            <w:sz w:val="16"/>
            <w:szCs w:val="16"/>
            <w:u w:val="single" w:color="auto"/>
            <w:color w:val="0000FF"/>
          </w:rPr>
          <w:t>the SEC on December 29,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540"/>
        <w:spacing w:after="0" w:line="299" w:lineRule="auto"/>
        <w:rPr>
          <w:rFonts w:ascii="Arial" w:cs="Arial" w:eastAsia="Arial" w:hAnsi="Arial"/>
          <w:sz w:val="16"/>
          <w:szCs w:val="16"/>
          <w:u w:val="single" w:color="auto"/>
          <w:color w:val="0000FF"/>
        </w:rPr>
      </w:pPr>
      <w:hyperlink r:id="rId134">
        <w:r>
          <w:rPr>
            <w:rFonts w:ascii="Arial" w:cs="Arial" w:eastAsia="Arial" w:hAnsi="Arial"/>
            <w:sz w:val="16"/>
            <w:szCs w:val="16"/>
            <w:u w:val="single" w:color="auto"/>
            <w:color w:val="0000FF"/>
          </w:rPr>
          <w:t>Bylaws of the Registrant (incorporated by reference to Exhibit 3.2 to the Registrant’s Current Report on Form 8-K filed with the SEC on</w:t>
        </w:r>
      </w:hyperlink>
      <w:r>
        <w:rPr>
          <w:rFonts w:ascii="Arial" w:cs="Arial" w:eastAsia="Arial" w:hAnsi="Arial"/>
          <w:sz w:val="16"/>
          <w:szCs w:val="16"/>
          <w:u w:val="single" w:color="auto"/>
          <w:color w:val="0000FF"/>
        </w:rPr>
        <w:t xml:space="preserve"> </w:t>
      </w:r>
      <w:hyperlink r:id="rId134">
        <w:r>
          <w:rPr>
            <w:rFonts w:ascii="Arial" w:cs="Arial" w:eastAsia="Arial" w:hAnsi="Arial"/>
            <w:sz w:val="16"/>
            <w:szCs w:val="16"/>
            <w:u w:val="single" w:color="auto"/>
            <w:color w:val="0000FF"/>
          </w:rPr>
          <w:t>December 29, 2022).</w:t>
        </w:r>
      </w:hyperlink>
    </w:p>
    <w:p>
      <w:pPr>
        <w:spacing w:after="0" w:line="1" w:lineRule="exact"/>
        <w:rPr>
          <w:sz w:val="20"/>
          <w:szCs w:val="20"/>
          <w:color w:val="auto"/>
        </w:rPr>
      </w:pPr>
    </w:p>
    <w:p>
      <w:pPr>
        <w:sectPr>
          <w:pgSz w:w="11900" w:h="16838" w:orient="portrait"/>
          <w:cols w:equalWidth="0" w:num="2">
            <w:col w:w="640" w:space="380"/>
            <w:col w:w="10180"/>
          </w:cols>
          <w:pgMar w:left="320" w:top="130" w:right="379" w:bottom="1440" w:gutter="0" w:footer="0" w:header="0"/>
          <w:type w:val="continuous"/>
        </w:sectPr>
      </w:pPr>
    </w:p>
    <w:p>
      <w:pPr>
        <w:ind w:left="1020"/>
        <w:spacing w:after="0"/>
        <w:rPr>
          <w:rFonts w:ascii="Arial" w:cs="Arial" w:eastAsia="Arial" w:hAnsi="Arial"/>
          <w:sz w:val="16"/>
          <w:szCs w:val="16"/>
          <w:u w:val="single" w:color="auto"/>
          <w:color w:val="0000FF"/>
        </w:rPr>
      </w:pPr>
      <w:hyperlink r:id="rId135">
        <w:r>
          <w:rPr>
            <w:rFonts w:ascii="Arial" w:cs="Arial" w:eastAsia="Arial" w:hAnsi="Arial"/>
            <w:sz w:val="16"/>
            <w:szCs w:val="16"/>
            <w:u w:val="single" w:color="auto"/>
            <w:color w:val="0000FF"/>
          </w:rPr>
          <w:t>Base Indenture, dated as of November 22, 2022, among GE HealthCare Holding LLC, General Electric Company, as guarantor, and The</w:t>
        </w:r>
      </w:hyperlink>
    </w:p>
    <w:p>
      <w:pPr>
        <w:spacing w:after="0" w:line="31" w:lineRule="exact"/>
        <w:rPr>
          <w:sz w:val="20"/>
          <w:szCs w:val="20"/>
          <w:color w:val="auto"/>
        </w:rPr>
      </w:pPr>
    </w:p>
    <w:p>
      <w:pPr>
        <w:ind w:left="1020" w:hanging="616"/>
        <w:spacing w:after="0" w:line="288"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4.1</w:t>
      </w:r>
      <w:r>
        <w:rPr>
          <w:sz w:val="20"/>
          <w:szCs w:val="20"/>
          <w:color w:val="auto"/>
        </w:rPr>
        <w:tab/>
      </w:r>
      <w:hyperlink r:id="rId135">
        <w:r>
          <w:rPr>
            <w:rFonts w:ascii="Arial" w:cs="Arial" w:eastAsia="Arial" w:hAnsi="Arial"/>
            <w:sz w:val="16"/>
            <w:szCs w:val="16"/>
            <w:u w:val="single" w:color="auto"/>
            <w:color w:val="0000FF"/>
          </w:rPr>
          <w:t>Bank of New York Mellon, as trustee (incorporated by reference to Exhibit 4.1 to General Electric Company’s Current Report on Form 8-K filed</w:t>
        </w:r>
      </w:hyperlink>
      <w:r>
        <w:rPr>
          <w:rFonts w:ascii="Arial" w:cs="Arial" w:eastAsia="Arial" w:hAnsi="Arial"/>
          <w:sz w:val="16"/>
          <w:szCs w:val="16"/>
          <w:u w:val="single" w:color="auto"/>
          <w:color w:val="0000FF"/>
        </w:rPr>
        <w:t xml:space="preserve"> </w:t>
      </w:r>
      <w:hyperlink r:id="rId135">
        <w:r>
          <w:rPr>
            <w:rFonts w:ascii="Arial" w:cs="Arial" w:eastAsia="Arial" w:hAnsi="Arial"/>
            <w:sz w:val="16"/>
            <w:szCs w:val="16"/>
            <w:u w:val="single" w:color="auto"/>
            <w:color w:val="0000FF"/>
          </w:rPr>
          <w:t>with the SEC on November 23,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098030" cy="419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6">
                      <a:extLst>
                        <a:ext uri="{28A0092B-C50C-407E-A947-70E740481C1C}"/>
                      </a:extLst>
                    </a:blip>
                    <a:srcRect/>
                    <a:stretch>
                      <a:fillRect/>
                    </a:stretch>
                  </pic:blipFill>
                  <pic:spPr bwMode="auto">
                    <a:xfrm>
                      <a:off x="0" y="0"/>
                      <a:ext cx="7098030" cy="419735"/>
                    </a:xfrm>
                    <a:prstGeom prst="rect">
                      <a:avLst/>
                    </a:prstGeom>
                    <a:noFill/>
                  </pic:spPr>
                </pic:pic>
              </a:graphicData>
            </a:graphic>
          </wp:anchor>
        </w:drawing>
      </w:r>
    </w:p>
    <w:p>
      <w:pPr>
        <w:ind w:left="1020"/>
        <w:spacing w:after="0"/>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First Supplemental Indenture, dated as of November 22, 2022, between GE HealthCare Holding LLC and The Bank of New York Mellon, as</w:t>
        </w:r>
      </w:hyperlink>
    </w:p>
    <w:p>
      <w:pPr>
        <w:spacing w:after="0" w:line="31" w:lineRule="exact"/>
        <w:rPr>
          <w:sz w:val="20"/>
          <w:szCs w:val="20"/>
          <w:color w:val="auto"/>
        </w:rPr>
      </w:pPr>
    </w:p>
    <w:p>
      <w:pPr>
        <w:ind w:left="400"/>
        <w:spacing w:after="0"/>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4.2</w:t>
      </w:r>
      <w:r>
        <w:rPr>
          <w:sz w:val="20"/>
          <w:szCs w:val="20"/>
          <w:color w:val="auto"/>
        </w:rPr>
        <w:tab/>
      </w:r>
      <w:hyperlink r:id="rId137">
        <w:r>
          <w:rPr>
            <w:rFonts w:ascii="Arial" w:cs="Arial" w:eastAsia="Arial" w:hAnsi="Arial"/>
            <w:sz w:val="16"/>
            <w:szCs w:val="16"/>
            <w:u w:val="single" w:color="auto"/>
            <w:color w:val="0000FF"/>
          </w:rPr>
          <w:t>trustee (incorporated by reference to Exhibit 4.2 to General Electric Company’s Current Report on Form 8-K filed with the SEC on November</w:t>
        </w:r>
      </w:hyperlink>
    </w:p>
    <w:p>
      <w:pPr>
        <w:spacing w:after="0" w:line="19" w:lineRule="exact"/>
        <w:rPr>
          <w:sz w:val="20"/>
          <w:szCs w:val="20"/>
          <w:color w:val="auto"/>
        </w:rPr>
      </w:pPr>
    </w:p>
    <w:p>
      <w:pPr>
        <w:ind w:left="1020"/>
        <w:spacing w:after="0"/>
        <w:rPr>
          <w:rFonts w:ascii="Arial" w:cs="Arial" w:eastAsia="Arial" w:hAnsi="Arial"/>
          <w:sz w:val="16"/>
          <w:szCs w:val="16"/>
          <w:u w:val="single" w:color="auto"/>
          <w:color w:val="0000FF"/>
        </w:rPr>
      </w:pPr>
      <w:hyperlink r:id="rId137">
        <w:r>
          <w:rPr>
            <w:rFonts w:ascii="Arial" w:cs="Arial" w:eastAsia="Arial" w:hAnsi="Arial"/>
            <w:sz w:val="16"/>
            <w:szCs w:val="16"/>
            <w:u w:val="single" w:color="auto"/>
            <w:color w:val="0000FF"/>
          </w:rPr>
          <w:t>23, 2022).</w:t>
        </w:r>
      </w:hyperlink>
    </w:p>
    <w:p>
      <w:pPr>
        <w:sectPr>
          <w:pgSz w:w="11900" w:h="16838" w:orient="portrait"/>
          <w:cols w:equalWidth="0" w:num="1">
            <w:col w:w="11200"/>
          </w:cols>
          <w:pgMar w:left="320" w:top="130" w:right="379" w:bottom="1440" w:gutter="0" w:footer="0" w:header="0"/>
          <w:type w:val="continuous"/>
        </w:sectPr>
      </w:pPr>
    </w:p>
    <w:p>
      <w:pPr>
        <w:spacing w:after="0" w:line="155"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4.3</w:t>
      </w:r>
    </w:p>
    <w:p>
      <w:pPr>
        <w:spacing w:after="0" w:line="275"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4.4</w:t>
      </w:r>
    </w:p>
    <w:p>
      <w:pPr>
        <w:spacing w:after="0" w:line="275"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4.5</w:t>
      </w:r>
    </w:p>
    <w:p>
      <w:pPr>
        <w:spacing w:after="0" w:line="275"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4.6</w:t>
      </w:r>
    </w:p>
    <w:p>
      <w:pPr>
        <w:spacing w:after="0" w:line="275"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10.1</w:t>
      </w:r>
    </w:p>
    <w:p>
      <w:pPr>
        <w:spacing w:after="0" w:line="275"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10.2</w:t>
      </w:r>
    </w:p>
    <w:p>
      <w:pPr>
        <w:spacing w:after="0" w:line="275" w:lineRule="exact"/>
        <w:rPr>
          <w:sz w:val="20"/>
          <w:szCs w:val="20"/>
          <w:color w:val="auto"/>
        </w:rPr>
      </w:pPr>
    </w:p>
    <w:p>
      <w:pPr>
        <w:jc w:val="center"/>
        <w:ind w:left="36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right="700"/>
        <w:spacing w:after="0" w:line="299" w:lineRule="auto"/>
        <w:rPr>
          <w:rFonts w:ascii="Arial" w:cs="Arial" w:eastAsia="Arial" w:hAnsi="Arial"/>
          <w:sz w:val="16"/>
          <w:szCs w:val="16"/>
          <w:u w:val="single" w:color="auto"/>
          <w:color w:val="0000FF"/>
        </w:rPr>
      </w:pPr>
      <w:hyperlink r:id="rId138">
        <w:r>
          <w:rPr>
            <w:rFonts w:ascii="Arial" w:cs="Arial" w:eastAsia="Arial" w:hAnsi="Arial"/>
            <w:sz w:val="16"/>
            <w:szCs w:val="16"/>
            <w:u w:val="single" w:color="auto"/>
            <w:color w:val="0000FF"/>
          </w:rPr>
          <w:t>Second Supplemental Indenture, dated as of August 14, 2024, between the Registrant and The Bank of New York Mellon, as trustee</w:t>
        </w:r>
      </w:hyperlink>
      <w:r>
        <w:rPr>
          <w:rFonts w:ascii="Arial" w:cs="Arial" w:eastAsia="Arial" w:hAnsi="Arial"/>
          <w:sz w:val="16"/>
          <w:szCs w:val="16"/>
          <w:u w:val="single" w:color="auto"/>
          <w:color w:val="0000FF"/>
        </w:rPr>
        <w:t xml:space="preserve"> </w:t>
      </w:r>
      <w:hyperlink r:id="rId138">
        <w:r>
          <w:rPr>
            <w:rFonts w:ascii="Arial" w:cs="Arial" w:eastAsia="Arial" w:hAnsi="Arial"/>
            <w:sz w:val="16"/>
            <w:szCs w:val="16"/>
            <w:u w:val="single" w:color="auto"/>
            <w:color w:val="0000FF"/>
          </w:rPr>
          <w:t>(incorporated by reference to Exhibit 4.2 to the Registrant’s Current Report on Form 8-K filed with the SEC on August 15,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120"/>
        <w:spacing w:after="0" w:line="299" w:lineRule="auto"/>
        <w:rPr>
          <w:rFonts w:ascii="Arial" w:cs="Arial" w:eastAsia="Arial" w:hAnsi="Arial"/>
          <w:sz w:val="16"/>
          <w:szCs w:val="16"/>
          <w:u w:val="single" w:color="auto"/>
          <w:color w:val="0000FF"/>
        </w:rPr>
      </w:pPr>
      <w:hyperlink r:id="rId140">
        <w:r>
          <w:rPr>
            <w:rFonts w:ascii="Arial" w:cs="Arial" w:eastAsia="Arial" w:hAnsi="Arial"/>
            <w:sz w:val="16"/>
            <w:szCs w:val="16"/>
            <w:u w:val="single" w:color="auto"/>
            <w:color w:val="0000FF"/>
          </w:rPr>
          <w:t>Third Supplemental Indenture, dated as of June 9, 2025, between the Registrant and The Bank of New York Mellon, as trustee (incorporated</w:t>
        </w:r>
      </w:hyperlink>
      <w:r>
        <w:rPr>
          <w:rFonts w:ascii="Arial" w:cs="Arial" w:eastAsia="Arial" w:hAnsi="Arial"/>
          <w:sz w:val="16"/>
          <w:szCs w:val="16"/>
          <w:u w:val="single" w:color="auto"/>
          <w:color w:val="0000FF"/>
        </w:rPr>
        <w:t xml:space="preserve"> </w:t>
      </w:r>
      <w:hyperlink r:id="rId140">
        <w:r>
          <w:rPr>
            <w:rFonts w:ascii="Arial" w:cs="Arial" w:eastAsia="Arial" w:hAnsi="Arial"/>
            <w:sz w:val="16"/>
            <w:szCs w:val="16"/>
            <w:u w:val="single" w:color="auto"/>
            <w:color w:val="0000FF"/>
          </w:rPr>
          <w:t>by reference to Exhibit 4.2 to the Registrant’s Current Report on Form 8-K filed with the SEC on June 9, 2025).</w:t>
        </w:r>
      </w:hyperlink>
    </w:p>
    <w:p>
      <w:pPr>
        <w:spacing w:after="0" w:line="1" w:lineRule="exact"/>
        <w:rPr>
          <w:sz w:val="20"/>
          <w:szCs w:val="20"/>
          <w:color w:val="auto"/>
        </w:rPr>
      </w:pPr>
    </w:p>
    <w:p>
      <w:pPr>
        <w:ind w:right="540"/>
        <w:spacing w:after="0" w:line="299" w:lineRule="auto"/>
        <w:rPr>
          <w:rFonts w:ascii="Arial" w:cs="Arial" w:eastAsia="Arial" w:hAnsi="Arial"/>
          <w:sz w:val="16"/>
          <w:szCs w:val="16"/>
          <w:u w:val="single" w:color="auto"/>
          <w:color w:val="0000FF"/>
        </w:rPr>
      </w:pPr>
      <w:hyperlink r:id="rId141">
        <w:r>
          <w:rPr>
            <w:rFonts w:ascii="Arial" w:cs="Arial" w:eastAsia="Arial" w:hAnsi="Arial"/>
            <w:sz w:val="16"/>
            <w:szCs w:val="16"/>
            <w:u w:val="single" w:color="auto"/>
            <w:color w:val="0000FF"/>
          </w:rPr>
          <w:t>Fourth Supplemental Indenture, dated as of December 15, 2025, between the Registrant and The Bank of New York Mellon, as trustee</w:t>
        </w:r>
      </w:hyperlink>
      <w:r>
        <w:rPr>
          <w:rFonts w:ascii="Arial" w:cs="Arial" w:eastAsia="Arial" w:hAnsi="Arial"/>
          <w:sz w:val="16"/>
          <w:szCs w:val="16"/>
          <w:u w:val="single" w:color="auto"/>
          <w:color w:val="0000FF"/>
        </w:rPr>
        <w:t xml:space="preserve"> </w:t>
      </w:r>
      <w:hyperlink r:id="rId141">
        <w:r>
          <w:rPr>
            <w:rFonts w:ascii="Arial" w:cs="Arial" w:eastAsia="Arial" w:hAnsi="Arial"/>
            <w:sz w:val="16"/>
            <w:szCs w:val="16"/>
            <w:u w:val="single" w:color="auto"/>
            <w:color w:val="0000FF"/>
          </w:rPr>
          <w:t>(incorporated by reference to Exhibit 4.2 to the Registrant’s Current Report on Form 8-K filed with the SEC on December 15,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480"/>
        <w:spacing w:after="0" w:line="299" w:lineRule="auto"/>
        <w:rPr>
          <w:rFonts w:ascii="Arial" w:cs="Arial" w:eastAsia="Arial" w:hAnsi="Arial"/>
          <w:sz w:val="16"/>
          <w:szCs w:val="16"/>
          <w:u w:val="single" w:color="auto"/>
          <w:color w:val="0000FF"/>
        </w:rPr>
      </w:pPr>
      <w:hyperlink r:id="rId143">
        <w:r>
          <w:rPr>
            <w:rFonts w:ascii="Arial" w:cs="Arial" w:eastAsia="Arial" w:hAnsi="Arial"/>
            <w:sz w:val="16"/>
            <w:szCs w:val="16"/>
            <w:u w:val="single" w:color="auto"/>
            <w:color w:val="0000FF"/>
          </w:rPr>
          <w:t>Description of Securities (incorporated by reference to Exhibit 4.4 to the Registrant’s Annual Report on Form 10-K filed with the SEC on</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February 15, 2023).</w:t>
        </w:r>
      </w:hyperlink>
    </w:p>
    <w:p>
      <w:pPr>
        <w:spacing w:after="0" w:line="1" w:lineRule="exact"/>
        <w:rPr>
          <w:sz w:val="20"/>
          <w:szCs w:val="20"/>
          <w:color w:val="auto"/>
        </w:rPr>
      </w:pPr>
    </w:p>
    <w:p>
      <w:pPr>
        <w:ind w:right="140"/>
        <w:spacing w:after="0" w:line="299" w:lineRule="auto"/>
        <w:rPr>
          <w:rFonts w:ascii="Arial" w:cs="Arial" w:eastAsia="Arial" w:hAnsi="Arial"/>
          <w:sz w:val="16"/>
          <w:szCs w:val="16"/>
          <w:color w:val="0000FF"/>
        </w:rPr>
      </w:pPr>
      <w:hyperlink r:id="rId144">
        <w:r>
          <w:rPr>
            <w:rFonts w:ascii="Arial" w:cs="Arial" w:eastAsia="Arial" w:hAnsi="Arial"/>
            <w:sz w:val="16"/>
            <w:szCs w:val="16"/>
            <w:u w:val="single" w:color="auto"/>
            <w:color w:val="0000FF"/>
          </w:rPr>
          <w:t>Tax Matters Agreement, dated January 2, 2023, by and between General Electric Company and the Registrant (incorporated by reference to</w:t>
        </w:r>
      </w:hyperlink>
      <w:r>
        <w:rPr>
          <w:rFonts w:ascii="Arial" w:cs="Arial" w:eastAsia="Arial" w:hAnsi="Arial"/>
          <w:sz w:val="16"/>
          <w:szCs w:val="16"/>
          <w:u w:val="single" w:color="auto"/>
          <w:color w:val="0000FF"/>
        </w:rPr>
        <w:t xml:space="preserve"> </w:t>
      </w:r>
      <w:hyperlink r:id="rId144">
        <w:r>
          <w:rPr>
            <w:rFonts w:ascii="Arial" w:cs="Arial" w:eastAsia="Arial" w:hAnsi="Arial"/>
            <w:sz w:val="16"/>
            <w:szCs w:val="16"/>
            <w:u w:val="single" w:color="auto"/>
            <w:color w:val="0000FF"/>
          </w:rPr>
          <w:t>Exhibit 10.2 to the Registrant’s Current Report on Form 8-K filed with the SEC on January 4, 2023).</w:t>
        </w:r>
        <w:r>
          <w:rPr>
            <w:rFonts w:ascii="Arial" w:cs="Arial" w:eastAsia="Arial" w:hAnsi="Arial"/>
            <w:sz w:val="16"/>
            <w:szCs w:val="16"/>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160"/>
        <w:spacing w:after="0" w:line="299" w:lineRule="auto"/>
        <w:rPr>
          <w:rFonts w:ascii="Arial" w:cs="Arial" w:eastAsia="Arial" w:hAnsi="Arial"/>
          <w:sz w:val="16"/>
          <w:szCs w:val="16"/>
          <w:color w:val="0000FF"/>
        </w:rPr>
      </w:pPr>
      <w:hyperlink r:id="rId146">
        <w:r>
          <w:rPr>
            <w:rFonts w:ascii="Arial" w:cs="Arial" w:eastAsia="Arial" w:hAnsi="Arial"/>
            <w:sz w:val="16"/>
            <w:szCs w:val="16"/>
            <w:u w:val="single" w:color="auto"/>
            <w:color w:val="0000FF"/>
          </w:rPr>
          <w:t>Trademark License Agreement, dated December 31, 2022, by and between General Electric Company and GE HealthCare Imaging Holding</w:t>
        </w:r>
      </w:hyperlink>
      <w:r>
        <w:rPr>
          <w:rFonts w:ascii="Arial" w:cs="Arial" w:eastAsia="Arial" w:hAnsi="Arial"/>
          <w:sz w:val="16"/>
          <w:szCs w:val="16"/>
          <w:u w:val="single" w:color="auto"/>
          <w:color w:val="0000FF"/>
        </w:rPr>
        <w:t xml:space="preserve"> </w:t>
      </w:r>
      <w:hyperlink r:id="rId146">
        <w:r>
          <w:rPr>
            <w:rFonts w:ascii="Arial" w:cs="Arial" w:eastAsia="Arial" w:hAnsi="Arial"/>
            <w:sz w:val="16"/>
            <w:szCs w:val="16"/>
            <w:u w:val="single" w:color="auto"/>
            <w:color w:val="0000FF"/>
          </w:rPr>
          <w:t>Inc. (incorporated by reference into Exhibit 10.4 to the Registrant’s Current Report on Form 8-K filed with the SEC on January 4, 2023).</w:t>
        </w:r>
        <w:r>
          <w:rPr>
            <w:rFonts w:ascii="Arial" w:cs="Arial" w:eastAsia="Arial" w:hAnsi="Arial"/>
            <w:sz w:val="16"/>
            <w:szCs w:val="16"/>
            <w:color w:val="000000"/>
          </w:rPr>
          <w:t>†</w:t>
        </w:r>
      </w:hyperlink>
    </w:p>
    <w:p>
      <w:pPr>
        <w:spacing w:after="0" w:line="1" w:lineRule="exact"/>
        <w:rPr>
          <w:sz w:val="20"/>
          <w:szCs w:val="20"/>
          <w:color w:val="auto"/>
        </w:rPr>
      </w:pPr>
    </w:p>
    <w:p>
      <w:pPr>
        <w:ind w:right="200"/>
        <w:spacing w:after="0" w:line="299" w:lineRule="auto"/>
        <w:rPr>
          <w:rFonts w:ascii="Arial" w:cs="Arial" w:eastAsia="Arial" w:hAnsi="Arial"/>
          <w:sz w:val="16"/>
          <w:szCs w:val="16"/>
          <w:u w:val="single" w:color="auto"/>
          <w:color w:val="0000FF"/>
        </w:rPr>
      </w:pPr>
      <w:hyperlink r:id="rId147">
        <w:r>
          <w:rPr>
            <w:rFonts w:ascii="Arial" w:cs="Arial" w:eastAsia="Arial" w:hAnsi="Arial"/>
            <w:sz w:val="16"/>
            <w:szCs w:val="16"/>
            <w:u w:val="single" w:color="auto"/>
            <w:color w:val="0000FF"/>
          </w:rPr>
          <w:t>Form of Indemnification Agreement (incorporated by reference to Exhibit 10.7 to the Registrant’s Form 10 filed with the SEC on October 11,</w:t>
        </w:r>
      </w:hyperlink>
      <w:r>
        <w:rPr>
          <w:rFonts w:ascii="Arial" w:cs="Arial" w:eastAsia="Arial" w:hAnsi="Arial"/>
          <w:sz w:val="16"/>
          <w:szCs w:val="16"/>
          <w:u w:val="single" w:color="auto"/>
          <w:color w:val="0000FF"/>
        </w:rPr>
        <w:t xml:space="preserve"> </w:t>
      </w:r>
      <w:hyperlink r:id="rId147">
        <w:r>
          <w:rPr>
            <w:rFonts w:ascii="Arial" w:cs="Arial" w:eastAsia="Arial" w:hAnsi="Arial"/>
            <w:sz w:val="16"/>
            <w:szCs w:val="16"/>
            <w:u w:val="single" w:color="auto"/>
            <w:color w:val="0000FF"/>
          </w:rPr>
          <w:t>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419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7098030" cy="41973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80" w:space="340"/>
            <w:col w:w="10180"/>
          </w:cols>
          <w:pgMar w:left="320" w:top="130" w:right="379" w:bottom="1440" w:gutter="0" w:footer="0" w:header="0"/>
          <w:type w:val="continuous"/>
        </w:sectPr>
      </w:pPr>
    </w:p>
    <w:p>
      <w:pPr>
        <w:jc w:val="center"/>
        <w:ind w:right="20"/>
        <w:spacing w:after="0"/>
        <w:rPr>
          <w:rFonts w:ascii="Arial" w:cs="Arial" w:eastAsia="Arial" w:hAnsi="Arial"/>
          <w:sz w:val="16"/>
          <w:szCs w:val="16"/>
          <w:u w:val="single" w:color="auto"/>
          <w:color w:val="0000FF"/>
        </w:rPr>
      </w:pPr>
      <w:hyperlink r:id="rId149">
        <w:r>
          <w:rPr>
            <w:rFonts w:ascii="Arial" w:cs="Arial" w:eastAsia="Arial" w:hAnsi="Arial"/>
            <w:sz w:val="16"/>
            <w:szCs w:val="16"/>
            <w:u w:val="single" w:color="auto"/>
            <w:color w:val="0000FF"/>
          </w:rPr>
          <w:t>Credit Agreement, dated as of March 27, 2025, by and among the Registrant, as the borrower, JPMorgan Chase Bank, N.A., as</w:t>
        </w:r>
      </w:hyperlink>
    </w:p>
    <w:p>
      <w:pPr>
        <w:spacing w:after="0" w:line="31" w:lineRule="exact"/>
        <w:rPr>
          <w:sz w:val="20"/>
          <w:szCs w:val="20"/>
          <w:color w:val="auto"/>
        </w:rPr>
      </w:pPr>
    </w:p>
    <w:p>
      <w:pPr>
        <w:ind w:left="1020" w:right="120" w:hanging="661"/>
        <w:spacing w:after="0" w:line="288"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10.4</w:t>
      </w:r>
      <w:r>
        <w:rPr>
          <w:sz w:val="20"/>
          <w:szCs w:val="20"/>
          <w:color w:val="auto"/>
        </w:rPr>
        <w:tab/>
      </w:r>
      <w:hyperlink r:id="rId149">
        <w:r>
          <w:rPr>
            <w:rFonts w:ascii="Arial" w:cs="Arial" w:eastAsia="Arial" w:hAnsi="Arial"/>
            <w:sz w:val="16"/>
            <w:szCs w:val="16"/>
            <w:u w:val="single" w:color="auto"/>
            <w:color w:val="0000FF"/>
          </w:rPr>
          <w:t>Administrative Agent, and the lenders party thereto (incorporated by reference to Exhibit 10.1 to the Registrant’s Form 8-K filed with the SEC</w:t>
        </w:r>
      </w:hyperlink>
      <w:r>
        <w:rPr>
          <w:rFonts w:ascii="Arial" w:cs="Arial" w:eastAsia="Arial" w:hAnsi="Arial"/>
          <w:sz w:val="16"/>
          <w:szCs w:val="16"/>
          <w:u w:val="single" w:color="auto"/>
          <w:color w:val="0000FF"/>
        </w:rPr>
        <w:t xml:space="preserve"> </w:t>
      </w:r>
      <w:hyperlink r:id="rId149">
        <w:r>
          <w:rPr>
            <w:rFonts w:ascii="Arial" w:cs="Arial" w:eastAsia="Arial" w:hAnsi="Arial"/>
            <w:sz w:val="16"/>
            <w:szCs w:val="16"/>
            <w:u w:val="single" w:color="auto"/>
            <w:color w:val="0000FF"/>
          </w:rPr>
          <w:t>on March 31, 2025).</w:t>
        </w:r>
      </w:hyperlink>
    </w:p>
    <w:p>
      <w:pPr>
        <w:spacing w:after="0" w:line="5" w:lineRule="exact"/>
        <w:rPr>
          <w:sz w:val="20"/>
          <w:szCs w:val="20"/>
          <w:color w:val="auto"/>
        </w:rPr>
      </w:pPr>
    </w:p>
    <w:p>
      <w:pPr>
        <w:ind w:left="1020"/>
        <w:spacing w:after="0"/>
        <w:rPr>
          <w:rFonts w:ascii="Arial" w:cs="Arial" w:eastAsia="Arial" w:hAnsi="Arial"/>
          <w:sz w:val="16"/>
          <w:szCs w:val="16"/>
          <w:u w:val="single" w:color="auto"/>
          <w:color w:val="0000FF"/>
        </w:rPr>
      </w:pPr>
      <w:hyperlink r:id="rId150">
        <w:r>
          <w:rPr>
            <w:rFonts w:ascii="Arial" w:cs="Arial" w:eastAsia="Arial" w:hAnsi="Arial"/>
            <w:sz w:val="16"/>
            <w:szCs w:val="16"/>
            <w:u w:val="single" w:color="auto"/>
            <w:color w:val="0000FF"/>
          </w:rPr>
          <w:t>364-Day Credit Agreement, dated as of March 27, 2025, by and among the Registrant, as the borrower, JPMorgan Chase Bank, N.A., as</w:t>
        </w:r>
      </w:hyperlink>
    </w:p>
    <w:p>
      <w:pPr>
        <w:spacing w:after="0" w:line="31" w:lineRule="exact"/>
        <w:rPr>
          <w:sz w:val="20"/>
          <w:szCs w:val="20"/>
          <w:color w:val="auto"/>
        </w:rPr>
      </w:pPr>
    </w:p>
    <w:p>
      <w:pPr>
        <w:ind w:left="1020" w:right="60" w:hanging="661"/>
        <w:spacing w:after="0" w:line="288"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10.5</w:t>
      </w:r>
      <w:r>
        <w:rPr>
          <w:sz w:val="20"/>
          <w:szCs w:val="20"/>
          <w:color w:val="auto"/>
        </w:rPr>
        <w:tab/>
      </w:r>
      <w:hyperlink r:id="rId150">
        <w:r>
          <w:rPr>
            <w:rFonts w:ascii="Arial" w:cs="Arial" w:eastAsia="Arial" w:hAnsi="Arial"/>
            <w:sz w:val="16"/>
            <w:szCs w:val="16"/>
            <w:u w:val="single" w:color="auto"/>
            <w:color w:val="0000FF"/>
          </w:rPr>
          <w:t>Administrative Agent, and the lenders party thereto (incorporated by reference to Exhibit 10.2 to the Current Report on Form 8-K filed with the</w:t>
        </w:r>
      </w:hyperlink>
      <w:r>
        <w:rPr>
          <w:rFonts w:ascii="Arial" w:cs="Arial" w:eastAsia="Arial" w:hAnsi="Arial"/>
          <w:sz w:val="16"/>
          <w:szCs w:val="16"/>
          <w:u w:val="single" w:color="auto"/>
          <w:color w:val="0000FF"/>
        </w:rPr>
        <w:t xml:space="preserve"> </w:t>
      </w:r>
      <w:hyperlink r:id="rId150">
        <w:r>
          <w:rPr>
            <w:rFonts w:ascii="Arial" w:cs="Arial" w:eastAsia="Arial" w:hAnsi="Arial"/>
            <w:sz w:val="16"/>
            <w:szCs w:val="16"/>
            <w:u w:val="single" w:color="auto"/>
            <w:color w:val="0000FF"/>
          </w:rPr>
          <w:t>SEC on March 31,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-4445</wp:posOffset>
            </wp:positionV>
            <wp:extent cx="7098030" cy="419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1">
                      <a:extLst>
                        <a:ext uri="{28A0092B-C50C-407E-A947-70E740481C1C}"/>
                      </a:extLst>
                    </a:blip>
                    <a:srcRect/>
                    <a:stretch>
                      <a:fillRect/>
                    </a:stretch>
                  </pic:blipFill>
                  <pic:spPr bwMode="auto">
                    <a:xfrm>
                      <a:off x="0" y="0"/>
                      <a:ext cx="7098030" cy="419735"/>
                    </a:xfrm>
                    <a:prstGeom prst="rect">
                      <a:avLst/>
                    </a:prstGeom>
                    <a:noFill/>
                  </pic:spPr>
                </pic:pic>
              </a:graphicData>
            </a:graphic>
          </wp:anchor>
        </w:drawing>
      </w:r>
    </w:p>
    <w:p>
      <w:pPr>
        <w:jc w:val="center"/>
        <w:ind w:right="-19"/>
        <w:spacing w:after="0"/>
        <w:rPr>
          <w:rFonts w:ascii="Arial" w:cs="Arial" w:eastAsia="Arial" w:hAnsi="Arial"/>
          <w:sz w:val="16"/>
          <w:szCs w:val="16"/>
          <w:u w:val="single" w:color="auto"/>
          <w:color w:val="0000FF"/>
        </w:rPr>
      </w:pPr>
      <w:hyperlink r:id="rId152">
        <w:r>
          <w:rPr>
            <w:rFonts w:ascii="Arial" w:cs="Arial" w:eastAsia="Arial" w:hAnsi="Arial"/>
            <w:sz w:val="16"/>
            <w:szCs w:val="16"/>
            <w:u w:val="single" w:color="auto"/>
            <w:color w:val="0000FF"/>
          </w:rPr>
          <w:t>Credit Agreement, dated as of December 12, 2025, among the Registrant, as the borrower, JPMorgan Chase Bank, N.A., as the</w:t>
        </w:r>
      </w:hyperlink>
    </w:p>
    <w:p>
      <w:pPr>
        <w:spacing w:after="0" w:line="31" w:lineRule="exact"/>
        <w:rPr>
          <w:sz w:val="20"/>
          <w:szCs w:val="20"/>
          <w:color w:val="auto"/>
        </w:rPr>
      </w:pPr>
    </w:p>
    <w:p>
      <w:pPr>
        <w:ind w:left="1020" w:right="60" w:hanging="661"/>
        <w:spacing w:after="0" w:line="288"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10.6</w:t>
      </w:r>
      <w:r>
        <w:rPr>
          <w:sz w:val="20"/>
          <w:szCs w:val="20"/>
          <w:color w:val="auto"/>
        </w:rPr>
        <w:tab/>
      </w:r>
      <w:hyperlink r:id="rId152">
        <w:r>
          <w:rPr>
            <w:rFonts w:ascii="Arial" w:cs="Arial" w:eastAsia="Arial" w:hAnsi="Arial"/>
            <w:sz w:val="16"/>
            <w:szCs w:val="16"/>
            <w:u w:val="single" w:color="auto"/>
            <w:color w:val="0000FF"/>
          </w:rPr>
          <w:t>Administrative Agent, and the lenders party thereto (incorporated by reference to Exhibit 10.1 to the Current Report on Form 8-K filed with the</w:t>
        </w:r>
      </w:hyperlink>
      <w:r>
        <w:rPr>
          <w:rFonts w:ascii="Arial" w:cs="Arial" w:eastAsia="Arial" w:hAnsi="Arial"/>
          <w:sz w:val="16"/>
          <w:szCs w:val="16"/>
          <w:u w:val="single" w:color="auto"/>
          <w:color w:val="0000FF"/>
        </w:rPr>
        <w:t xml:space="preserve"> </w:t>
      </w:r>
      <w:hyperlink r:id="rId152">
        <w:r>
          <w:rPr>
            <w:rFonts w:ascii="Arial" w:cs="Arial" w:eastAsia="Arial" w:hAnsi="Arial"/>
            <w:sz w:val="16"/>
            <w:szCs w:val="16"/>
            <w:u w:val="single" w:color="auto"/>
            <w:color w:val="0000FF"/>
          </w:rPr>
          <w:t>SEC on December 15, 2025).</w:t>
        </w:r>
      </w:hyperlink>
    </w:p>
    <w:tbl>
      <w:tblPr>
        <w:tblLayout w:type="fixed"/>
        <w:tblInd w:w="340" w:type="dxa"/>
        <w:tblCellMar>
          <w:top w:w="0" w:type="dxa"/>
          <w:left w:w="0" w:type="dxa"/>
          <w:bottom w:w="0" w:type="dxa"/>
          <w:right w:w="0" w:type="dxa"/>
        </w:tblCellMar>
      </w:tblPr>
      <w:tr>
        <w:trPr>
          <w:trHeight w:val="181"/>
        </w:trPr>
        <w:tc>
          <w:tcPr>
            <w:tcW w:w="680" w:type="dxa"/>
            <w:vAlign w:val="bottom"/>
            <w:vMerge w:val="restart"/>
          </w:tcPr>
          <w:p>
            <w:pPr>
              <w:jc w:val="right"/>
              <w:ind w:right="219"/>
              <w:spacing w:after="0"/>
              <w:rPr>
                <w:sz w:val="20"/>
                <w:szCs w:val="20"/>
                <w:color w:val="auto"/>
              </w:rPr>
            </w:pPr>
            <w:r>
              <w:rPr>
                <w:rFonts w:ascii="Arial" w:cs="Arial" w:eastAsia="Arial" w:hAnsi="Arial"/>
                <w:sz w:val="16"/>
                <w:szCs w:val="16"/>
                <w:color w:val="auto"/>
                <w:w w:val="96"/>
              </w:rPr>
              <w:t>10.7*</w:t>
            </w:r>
          </w:p>
        </w:tc>
        <w:tc>
          <w:tcPr>
            <w:tcW w:w="10180" w:type="dxa"/>
            <w:vAlign w:val="bottom"/>
            <w:tcBorders>
              <w:bottom w:val="single" w:sz="8" w:color="0000FF"/>
            </w:tcBorders>
            <w:gridSpan w:val="2"/>
          </w:tcPr>
          <w:p>
            <w:pPr>
              <w:spacing w:after="0" w:line="181" w:lineRule="exact"/>
              <w:rPr>
                <w:rFonts w:ascii="Arial" w:cs="Arial" w:eastAsia="Arial" w:hAnsi="Arial"/>
                <w:sz w:val="16"/>
                <w:szCs w:val="16"/>
                <w:color w:val="0000FF"/>
              </w:rPr>
            </w:pPr>
            <w:hyperlink r:id="rId153">
              <w:r>
                <w:rPr>
                  <w:rFonts w:ascii="Arial" w:cs="Arial" w:eastAsia="Arial" w:hAnsi="Arial"/>
                  <w:sz w:val="16"/>
                  <w:szCs w:val="16"/>
                  <w:color w:val="0000FF"/>
                </w:rPr>
                <w:t>GE HealthCare 2023 Long-Term Incentive Plan (incorporated by reference to Exhibit 10.11 to the Registrant’s Registration Statement on Form</w:t>
              </w:r>
            </w:hyperlink>
          </w:p>
        </w:tc>
        <w:tc>
          <w:tcPr>
            <w:tcW w:w="0" w:type="dxa"/>
            <w:vAlign w:val="bottom"/>
          </w:tcPr>
          <w:p>
            <w:pPr>
              <w:spacing w:after="0"/>
              <w:rPr>
                <w:sz w:val="1"/>
                <w:szCs w:val="1"/>
                <w:color w:val="auto"/>
              </w:rPr>
            </w:pPr>
          </w:p>
        </w:tc>
      </w:tr>
      <w:tr>
        <w:trPr>
          <w:trHeight w:val="113"/>
        </w:trPr>
        <w:tc>
          <w:tcPr>
            <w:tcW w:w="680" w:type="dxa"/>
            <w:vAlign w:val="bottom"/>
            <w:vMerge w:val="continue"/>
          </w:tcPr>
          <w:p>
            <w:pPr>
              <w:spacing w:after="0"/>
              <w:rPr>
                <w:sz w:val="9"/>
                <w:szCs w:val="9"/>
                <w:color w:val="auto"/>
              </w:rPr>
            </w:pPr>
          </w:p>
        </w:tc>
        <w:tc>
          <w:tcPr>
            <w:tcW w:w="3380" w:type="dxa"/>
            <w:vAlign w:val="bottom"/>
            <w:vMerge w:val="restart"/>
          </w:tcPr>
          <w:p>
            <w:pPr>
              <w:spacing w:after="0" w:line="183" w:lineRule="exact"/>
              <w:rPr>
                <w:rFonts w:ascii="Arial" w:cs="Arial" w:eastAsia="Arial" w:hAnsi="Arial"/>
                <w:sz w:val="16"/>
                <w:szCs w:val="16"/>
                <w:color w:val="0000FF"/>
              </w:rPr>
            </w:pPr>
            <w:hyperlink r:id="rId153">
              <w:r>
                <w:rPr>
                  <w:rFonts w:ascii="Arial" w:cs="Arial" w:eastAsia="Arial" w:hAnsi="Arial"/>
                  <w:sz w:val="16"/>
                  <w:szCs w:val="16"/>
                  <w:color w:val="0000FF"/>
                </w:rPr>
                <w:t>S-1 filed with the SEC on December 14, 2022).</w:t>
              </w:r>
            </w:hyperlink>
          </w:p>
        </w:tc>
        <w:tc>
          <w:tcPr>
            <w:tcW w:w="68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3380" w:type="dxa"/>
            <w:vAlign w:val="bottom"/>
            <w:tcBorders>
              <w:bottom w:val="single" w:sz="8" w:color="0000FF"/>
            </w:tcBorders>
            <w:vMerge w:val="continue"/>
          </w:tcPr>
          <w:p>
            <w:pPr>
              <w:spacing w:after="0"/>
              <w:rPr>
                <w:sz w:val="6"/>
                <w:szCs w:val="6"/>
                <w:color w:val="auto"/>
              </w:rPr>
            </w:pPr>
          </w:p>
        </w:tc>
        <w:tc>
          <w:tcPr>
            <w:tcW w:w="6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3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537845</wp:posOffset>
            </wp:positionV>
            <wp:extent cx="7098030" cy="291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10.8*</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10.9*</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10.10*</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10.11*</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10.12*</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10.13*</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10.14*</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10.15*</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10.16*</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10.17*</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10.18*</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10.19*</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10.20*</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10.21*</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10.22*</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10.23*</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10.24*</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10.25*</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10.26*</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10.27*</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10.28*</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10.29*</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10.30*</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10.31*</w:t>
      </w: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10.32*</w:t>
      </w:r>
    </w:p>
    <w:p>
      <w:pPr>
        <w:spacing w:after="0" w:line="383"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10.33*</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10.34*</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10.35*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160"/>
        <w:spacing w:after="0" w:line="299" w:lineRule="auto"/>
        <w:rPr>
          <w:rFonts w:ascii="Arial" w:cs="Arial" w:eastAsia="Arial" w:hAnsi="Arial"/>
          <w:sz w:val="16"/>
          <w:szCs w:val="16"/>
          <w:u w:val="single" w:color="auto"/>
          <w:color w:val="0000FF"/>
        </w:rPr>
      </w:pPr>
      <w:hyperlink r:id="rId156">
        <w:r>
          <w:rPr>
            <w:rFonts w:ascii="Arial" w:cs="Arial" w:eastAsia="Arial" w:hAnsi="Arial"/>
            <w:sz w:val="16"/>
            <w:szCs w:val="16"/>
            <w:u w:val="single" w:color="auto"/>
            <w:color w:val="0000FF"/>
          </w:rPr>
          <w:t>GE HealthCare Mirror 2022 Long-Term Incentive Plan (incorporated by reference to Exhibit 10.12 to the Registrant’s Registration Statement</w:t>
        </w:r>
      </w:hyperlink>
      <w:r>
        <w:rPr>
          <w:rFonts w:ascii="Arial" w:cs="Arial" w:eastAsia="Arial" w:hAnsi="Arial"/>
          <w:sz w:val="16"/>
          <w:szCs w:val="16"/>
          <w:u w:val="single" w:color="auto"/>
          <w:color w:val="0000FF"/>
        </w:rPr>
        <w:t xml:space="preserve"> </w:t>
      </w:r>
      <w:hyperlink r:id="rId156">
        <w:r>
          <w:rPr>
            <w:rFonts w:ascii="Arial" w:cs="Arial" w:eastAsia="Arial" w:hAnsi="Arial"/>
            <w:sz w:val="16"/>
            <w:szCs w:val="16"/>
            <w:u w:val="single" w:color="auto"/>
            <w:color w:val="0000FF"/>
          </w:rPr>
          <w:t>on Form S-1 filed with the SEC on December 14, 2022).</w:t>
        </w:r>
      </w:hyperlink>
    </w:p>
    <w:p>
      <w:pPr>
        <w:spacing w:after="0" w:line="1" w:lineRule="exact"/>
        <w:rPr>
          <w:sz w:val="20"/>
          <w:szCs w:val="20"/>
          <w:color w:val="auto"/>
        </w:rPr>
      </w:pPr>
    </w:p>
    <w:p>
      <w:pPr>
        <w:ind w:right="160"/>
        <w:spacing w:after="0" w:line="299" w:lineRule="auto"/>
        <w:rPr>
          <w:rFonts w:ascii="Arial" w:cs="Arial" w:eastAsia="Arial" w:hAnsi="Arial"/>
          <w:sz w:val="16"/>
          <w:szCs w:val="16"/>
          <w:u w:val="single" w:color="auto"/>
          <w:color w:val="0000FF"/>
        </w:rPr>
      </w:pPr>
      <w:hyperlink r:id="rId157">
        <w:r>
          <w:rPr>
            <w:rFonts w:ascii="Arial" w:cs="Arial" w:eastAsia="Arial" w:hAnsi="Arial"/>
            <w:sz w:val="16"/>
            <w:szCs w:val="16"/>
            <w:u w:val="single" w:color="auto"/>
            <w:color w:val="0000FF"/>
          </w:rPr>
          <w:t>GE HealthCare Mirror 2007 Long-Term Incentive Plan (incorporated by reference to Exhibit 10.13 to the Registrant’s Registration Statement</w:t>
        </w:r>
      </w:hyperlink>
      <w:r>
        <w:rPr>
          <w:rFonts w:ascii="Arial" w:cs="Arial" w:eastAsia="Arial" w:hAnsi="Arial"/>
          <w:sz w:val="16"/>
          <w:szCs w:val="16"/>
          <w:u w:val="single" w:color="auto"/>
          <w:color w:val="0000FF"/>
        </w:rPr>
        <w:t xml:space="preserve"> </w:t>
      </w:r>
      <w:hyperlink r:id="rId157">
        <w:r>
          <w:rPr>
            <w:rFonts w:ascii="Arial" w:cs="Arial" w:eastAsia="Arial" w:hAnsi="Arial"/>
            <w:sz w:val="16"/>
            <w:szCs w:val="16"/>
            <w:u w:val="single" w:color="auto"/>
            <w:color w:val="0000FF"/>
          </w:rPr>
          <w:t>on Form S-1 filed with the SEC on December 14,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160"/>
        <w:spacing w:after="0" w:line="299" w:lineRule="auto"/>
        <w:rPr>
          <w:rFonts w:ascii="Arial" w:cs="Arial" w:eastAsia="Arial" w:hAnsi="Arial"/>
          <w:sz w:val="16"/>
          <w:szCs w:val="16"/>
          <w:u w:val="single" w:color="auto"/>
          <w:color w:val="0000FF"/>
        </w:rPr>
      </w:pPr>
      <w:hyperlink r:id="rId159">
        <w:r>
          <w:rPr>
            <w:rFonts w:ascii="Arial" w:cs="Arial" w:eastAsia="Arial" w:hAnsi="Arial"/>
            <w:sz w:val="16"/>
            <w:szCs w:val="16"/>
            <w:u w:val="single" w:color="auto"/>
            <w:color w:val="0000FF"/>
          </w:rPr>
          <w:t>GE HealthCare Mirror 1990 Long-Term Incentive Plan (incorporated by reference to Exhibit 10.14 to the Registrant’s Registration Statement</w:t>
        </w:r>
      </w:hyperlink>
      <w:r>
        <w:rPr>
          <w:rFonts w:ascii="Arial" w:cs="Arial" w:eastAsia="Arial" w:hAnsi="Arial"/>
          <w:sz w:val="16"/>
          <w:szCs w:val="16"/>
          <w:u w:val="single" w:color="auto"/>
          <w:color w:val="0000FF"/>
        </w:rPr>
        <w:t xml:space="preserve"> </w:t>
      </w:r>
      <w:hyperlink r:id="rId159">
        <w:r>
          <w:rPr>
            <w:rFonts w:ascii="Arial" w:cs="Arial" w:eastAsia="Arial" w:hAnsi="Arial"/>
            <w:sz w:val="16"/>
            <w:szCs w:val="16"/>
            <w:u w:val="single" w:color="auto"/>
            <w:color w:val="0000FF"/>
          </w:rPr>
          <w:t>on Form S-1 filed with the SEC on December 14, 2022).</w:t>
        </w:r>
      </w:hyperlink>
    </w:p>
    <w:p>
      <w:pPr>
        <w:spacing w:after="0" w:line="1" w:lineRule="exact"/>
        <w:rPr>
          <w:sz w:val="20"/>
          <w:szCs w:val="20"/>
          <w:color w:val="auto"/>
        </w:rPr>
      </w:pPr>
    </w:p>
    <w:p>
      <w:pPr>
        <w:ind w:right="300"/>
        <w:spacing w:after="0" w:line="299" w:lineRule="auto"/>
        <w:rPr>
          <w:rFonts w:ascii="Arial" w:cs="Arial" w:eastAsia="Arial" w:hAnsi="Arial"/>
          <w:sz w:val="16"/>
          <w:szCs w:val="16"/>
          <w:u w:val="single" w:color="auto"/>
          <w:color w:val="0000FF"/>
        </w:rPr>
      </w:pPr>
      <w:hyperlink r:id="rId160">
        <w:r>
          <w:rPr>
            <w:rFonts w:ascii="Arial" w:cs="Arial" w:eastAsia="Arial" w:hAnsi="Arial"/>
            <w:sz w:val="16"/>
            <w:szCs w:val="16"/>
            <w:u w:val="single" w:color="auto"/>
            <w:color w:val="0000FF"/>
          </w:rPr>
          <w:t>Offer Letter with Peter J. Arduini, dated June 15, 2021 (incorporated by reference to Exhibit 10.15 to the Registrant’s Amendment No. 1 to</w:t>
        </w:r>
      </w:hyperlink>
      <w:r>
        <w:rPr>
          <w:rFonts w:ascii="Arial" w:cs="Arial" w:eastAsia="Arial" w:hAnsi="Arial"/>
          <w:sz w:val="16"/>
          <w:szCs w:val="16"/>
          <w:u w:val="single" w:color="auto"/>
          <w:color w:val="0000FF"/>
        </w:rPr>
        <w:t xml:space="preserve"> </w:t>
      </w:r>
      <w:hyperlink r:id="rId160">
        <w:r>
          <w:rPr>
            <w:rFonts w:ascii="Arial" w:cs="Arial" w:eastAsia="Arial" w:hAnsi="Arial"/>
            <w:sz w:val="16"/>
            <w:szCs w:val="16"/>
            <w:u w:val="single" w:color="auto"/>
            <w:color w:val="0000FF"/>
          </w:rPr>
          <w:t>Form 10 filed with the SEC on November 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1">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700"/>
        <w:spacing w:after="0" w:line="299" w:lineRule="auto"/>
        <w:rPr>
          <w:rFonts w:ascii="Arial" w:cs="Arial" w:eastAsia="Arial" w:hAnsi="Arial"/>
          <w:sz w:val="16"/>
          <w:szCs w:val="16"/>
          <w:u w:val="single" w:color="auto"/>
          <w:color w:val="0000FF"/>
        </w:rPr>
      </w:pPr>
      <w:hyperlink r:id="rId162">
        <w:r>
          <w:rPr>
            <w:rFonts w:ascii="Arial" w:cs="Arial" w:eastAsia="Arial" w:hAnsi="Arial"/>
            <w:sz w:val="16"/>
            <w:szCs w:val="16"/>
            <w:u w:val="single" w:color="auto"/>
            <w:color w:val="0000FF"/>
          </w:rPr>
          <w:t>Amended Offer Letter with Peter J. Arduini, dated November 16, 2022 (incorporated by reference to Exhibit 10.16 to the Registrant’s</w:t>
        </w:r>
      </w:hyperlink>
      <w:r>
        <w:rPr>
          <w:rFonts w:ascii="Arial" w:cs="Arial" w:eastAsia="Arial" w:hAnsi="Arial"/>
          <w:sz w:val="16"/>
          <w:szCs w:val="16"/>
          <w:u w:val="single" w:color="auto"/>
          <w:color w:val="0000FF"/>
        </w:rPr>
        <w:t xml:space="preserve"> </w:t>
      </w:r>
      <w:hyperlink r:id="rId162">
        <w:r>
          <w:rPr>
            <w:rFonts w:ascii="Arial" w:cs="Arial" w:eastAsia="Arial" w:hAnsi="Arial"/>
            <w:sz w:val="16"/>
            <w:szCs w:val="16"/>
            <w:u w:val="single" w:color="auto"/>
            <w:color w:val="0000FF"/>
          </w:rPr>
          <w:t>Amendment No. 2 to Form 10 filed with the SEC on November 18, 2022).</w:t>
        </w:r>
      </w:hyperlink>
    </w:p>
    <w:p>
      <w:pPr>
        <w:spacing w:after="0" w:line="1" w:lineRule="exact"/>
        <w:rPr>
          <w:sz w:val="20"/>
          <w:szCs w:val="20"/>
          <w:color w:val="auto"/>
        </w:rPr>
      </w:pPr>
    </w:p>
    <w:p>
      <w:pPr>
        <w:spacing w:after="0" w:line="299" w:lineRule="auto"/>
        <w:rPr>
          <w:rFonts w:ascii="Arial" w:cs="Arial" w:eastAsia="Arial" w:hAnsi="Arial"/>
          <w:sz w:val="16"/>
          <w:szCs w:val="16"/>
          <w:u w:val="single" w:color="auto"/>
          <w:color w:val="0000FF"/>
        </w:rPr>
      </w:pPr>
      <w:hyperlink r:id="rId163">
        <w:r>
          <w:rPr>
            <w:rFonts w:ascii="Arial" w:cs="Arial" w:eastAsia="Arial" w:hAnsi="Arial"/>
            <w:sz w:val="16"/>
            <w:szCs w:val="16"/>
            <w:u w:val="single" w:color="auto"/>
            <w:color w:val="0000FF"/>
          </w:rPr>
          <w:t>Offer Letter with Frank R. Jimenez, dated February 4, 2022 (incorporated by reference to Exhibit 10.13 to the Registrant’s Quarterly Report on</w:t>
        </w:r>
      </w:hyperlink>
      <w:r>
        <w:rPr>
          <w:rFonts w:ascii="Arial" w:cs="Arial" w:eastAsia="Arial" w:hAnsi="Arial"/>
          <w:sz w:val="16"/>
          <w:szCs w:val="16"/>
          <w:u w:val="single" w:color="auto"/>
          <w:color w:val="0000FF"/>
        </w:rPr>
        <w:t xml:space="preserve"> </w:t>
      </w:r>
      <w:hyperlink r:id="rId163">
        <w:r>
          <w:rPr>
            <w:rFonts w:ascii="Arial" w:cs="Arial" w:eastAsia="Arial" w:hAnsi="Arial"/>
            <w:sz w:val="16"/>
            <w:szCs w:val="16"/>
            <w:u w:val="single" w:color="auto"/>
            <w:color w:val="0000FF"/>
          </w:rPr>
          <w:t>Form 10-Q filed with the SEC on April 25,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4">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380"/>
        <w:spacing w:after="0" w:line="299" w:lineRule="auto"/>
        <w:rPr>
          <w:rFonts w:ascii="Arial" w:cs="Arial" w:eastAsia="Arial" w:hAnsi="Arial"/>
          <w:sz w:val="16"/>
          <w:szCs w:val="16"/>
          <w:color w:val="0000FF"/>
        </w:rPr>
      </w:pPr>
      <w:hyperlink r:id="rId165">
        <w:r>
          <w:rPr>
            <w:rFonts w:ascii="Arial" w:cs="Arial" w:eastAsia="Arial" w:hAnsi="Arial"/>
            <w:sz w:val="16"/>
            <w:szCs w:val="16"/>
            <w:u w:val="single" w:color="auto"/>
            <w:color w:val="0000FF"/>
          </w:rPr>
          <w:t>Offer Letter with James K. Saccaro, dated May 4, 2023 (incorporated by reference to Exhibit 10.2 to the Registrant’s Quarterly Report on</w:t>
        </w:r>
      </w:hyperlink>
      <w:r>
        <w:rPr>
          <w:rFonts w:ascii="Arial" w:cs="Arial" w:eastAsia="Arial" w:hAnsi="Arial"/>
          <w:sz w:val="16"/>
          <w:szCs w:val="16"/>
          <w:u w:val="single" w:color="auto"/>
          <w:color w:val="0000FF"/>
        </w:rPr>
        <w:t xml:space="preserve"> </w:t>
      </w:r>
      <w:hyperlink r:id="rId165">
        <w:r>
          <w:rPr>
            <w:rFonts w:ascii="Arial" w:cs="Arial" w:eastAsia="Arial" w:hAnsi="Arial"/>
            <w:sz w:val="16"/>
            <w:szCs w:val="16"/>
            <w:u w:val="single" w:color="auto"/>
            <w:color w:val="0000FF"/>
          </w:rPr>
          <w:t>Form 10-Q filed with the SEC on July 25, 2023).</w:t>
        </w:r>
        <w:r>
          <w:rPr>
            <w:rFonts w:ascii="Arial" w:cs="Arial" w:eastAsia="Arial" w:hAnsi="Arial"/>
            <w:sz w:val="16"/>
            <w:szCs w:val="16"/>
            <w:color w:val="000000"/>
          </w:rPr>
          <w:t>†</w:t>
        </w:r>
      </w:hyperlink>
    </w:p>
    <w:p>
      <w:pPr>
        <w:spacing w:after="0" w:line="1" w:lineRule="exact"/>
        <w:rPr>
          <w:sz w:val="20"/>
          <w:szCs w:val="20"/>
          <w:color w:val="auto"/>
        </w:rPr>
      </w:pPr>
    </w:p>
    <w:p>
      <w:pPr>
        <w:ind w:right="60"/>
        <w:spacing w:after="0" w:line="299" w:lineRule="auto"/>
        <w:rPr>
          <w:rFonts w:ascii="Arial" w:cs="Arial" w:eastAsia="Arial" w:hAnsi="Arial"/>
          <w:sz w:val="16"/>
          <w:szCs w:val="16"/>
          <w:u w:val="single" w:color="auto"/>
          <w:color w:val="0000FF"/>
        </w:rPr>
      </w:pPr>
      <w:hyperlink r:id="rId166">
        <w:r>
          <w:rPr>
            <w:rFonts w:ascii="Arial" w:cs="Arial" w:eastAsia="Arial" w:hAnsi="Arial"/>
            <w:sz w:val="16"/>
            <w:szCs w:val="16"/>
            <w:u w:val="single" w:color="auto"/>
            <w:color w:val="0000FF"/>
          </w:rPr>
          <w:t>Offer Letter with Taha Kass-Hout, dated September 9, 2022 (incorporated by reference to Exhibit 10.5 to the Registrant’s Quarterly Report on</w:t>
        </w:r>
      </w:hyperlink>
      <w:r>
        <w:rPr>
          <w:rFonts w:ascii="Arial" w:cs="Arial" w:eastAsia="Arial" w:hAnsi="Arial"/>
          <w:sz w:val="16"/>
          <w:szCs w:val="16"/>
          <w:u w:val="single" w:color="auto"/>
          <w:color w:val="0000FF"/>
        </w:rPr>
        <w:t xml:space="preserve"> </w:t>
      </w:r>
      <w:hyperlink r:id="rId166">
        <w:r>
          <w:rPr>
            <w:rFonts w:ascii="Arial" w:cs="Arial" w:eastAsia="Arial" w:hAnsi="Arial"/>
            <w:sz w:val="16"/>
            <w:szCs w:val="16"/>
            <w:u w:val="single" w:color="auto"/>
            <w:color w:val="0000FF"/>
          </w:rPr>
          <w:t>Form 10-Q filed with the SEC on April 30,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360"/>
        <w:spacing w:after="0" w:line="299" w:lineRule="auto"/>
        <w:rPr>
          <w:rFonts w:ascii="Arial" w:cs="Arial" w:eastAsia="Arial" w:hAnsi="Arial"/>
          <w:sz w:val="16"/>
          <w:szCs w:val="16"/>
          <w:color w:val="0000FF"/>
        </w:rPr>
      </w:pPr>
      <w:hyperlink r:id="rId168">
        <w:r>
          <w:rPr>
            <w:rFonts w:ascii="Arial" w:cs="Arial" w:eastAsia="Arial" w:hAnsi="Arial"/>
            <w:sz w:val="16"/>
            <w:szCs w:val="16"/>
            <w:u w:val="single" w:color="auto"/>
            <w:color w:val="0000FF"/>
          </w:rPr>
          <w:t>Employment contract with Roland Rott, dated as of June 30, 2024 (incorporated by reference to Exhibit 10.3 to the Registrant’s Quarterly</w:t>
        </w:r>
      </w:hyperlink>
      <w:r>
        <w:rPr>
          <w:rFonts w:ascii="Arial" w:cs="Arial" w:eastAsia="Arial" w:hAnsi="Arial"/>
          <w:sz w:val="16"/>
          <w:szCs w:val="16"/>
          <w:u w:val="single" w:color="auto"/>
          <w:color w:val="0000FF"/>
        </w:rPr>
        <w:t xml:space="preserve"> </w:t>
      </w:r>
      <w:hyperlink r:id="rId168">
        <w:r>
          <w:rPr>
            <w:rFonts w:ascii="Arial" w:cs="Arial" w:eastAsia="Arial" w:hAnsi="Arial"/>
            <w:sz w:val="16"/>
            <w:szCs w:val="16"/>
            <w:u w:val="single" w:color="auto"/>
            <w:color w:val="0000FF"/>
          </w:rPr>
          <w:t>Report on Form 10-Q filed with the SEC on April 30, 2025).</w:t>
        </w:r>
        <w:r>
          <w:rPr>
            <w:rFonts w:ascii="Arial" w:cs="Arial" w:eastAsia="Arial" w:hAnsi="Arial"/>
            <w:sz w:val="16"/>
            <w:szCs w:val="16"/>
            <w:color w:val="000000"/>
          </w:rPr>
          <w:t>†</w:t>
        </w:r>
      </w:hyperlink>
    </w:p>
    <w:p>
      <w:pPr>
        <w:spacing w:after="0" w:line="1" w:lineRule="exact"/>
        <w:rPr>
          <w:sz w:val="20"/>
          <w:szCs w:val="20"/>
          <w:color w:val="auto"/>
        </w:rPr>
      </w:pPr>
    </w:p>
    <w:p>
      <w:pPr>
        <w:ind w:right="60"/>
        <w:spacing w:after="0" w:line="299" w:lineRule="auto"/>
        <w:rPr>
          <w:rFonts w:ascii="Arial" w:cs="Arial" w:eastAsia="Arial" w:hAnsi="Arial"/>
          <w:sz w:val="16"/>
          <w:szCs w:val="16"/>
          <w:u w:val="single" w:color="auto"/>
          <w:color w:val="0000FF"/>
        </w:rPr>
      </w:pPr>
      <w:hyperlink r:id="rId169">
        <w:r>
          <w:rPr>
            <w:rFonts w:ascii="Arial" w:cs="Arial" w:eastAsia="Arial" w:hAnsi="Arial"/>
            <w:sz w:val="16"/>
            <w:szCs w:val="16"/>
            <w:u w:val="single" w:color="auto"/>
            <w:color w:val="0000FF"/>
          </w:rPr>
          <w:t>GE HealthCare Annual Executive Incentive Plan (incorporated by reference to Exhibit 10.20 to the Registrant’s Amendment No. 1 to Form 10</w:t>
        </w:r>
      </w:hyperlink>
      <w:r>
        <w:rPr>
          <w:rFonts w:ascii="Arial" w:cs="Arial" w:eastAsia="Arial" w:hAnsi="Arial"/>
          <w:sz w:val="16"/>
          <w:szCs w:val="16"/>
          <w:u w:val="single" w:color="auto"/>
          <w:color w:val="0000FF"/>
        </w:rPr>
        <w:t xml:space="preserve"> </w:t>
      </w:r>
      <w:hyperlink r:id="rId169">
        <w:r>
          <w:rPr>
            <w:rFonts w:ascii="Arial" w:cs="Arial" w:eastAsia="Arial" w:hAnsi="Arial"/>
            <w:sz w:val="16"/>
            <w:szCs w:val="16"/>
            <w:u w:val="single" w:color="auto"/>
            <w:color w:val="0000FF"/>
          </w:rPr>
          <w:t>filed with the SEC on November 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240"/>
        <w:spacing w:after="0" w:line="299" w:lineRule="auto"/>
        <w:rPr>
          <w:rFonts w:ascii="Arial" w:cs="Arial" w:eastAsia="Arial" w:hAnsi="Arial"/>
          <w:sz w:val="16"/>
          <w:szCs w:val="16"/>
          <w:u w:val="single" w:color="auto"/>
          <w:color w:val="0000FF"/>
        </w:rPr>
      </w:pPr>
      <w:hyperlink r:id="rId171">
        <w:r>
          <w:rPr>
            <w:rFonts w:ascii="Arial" w:cs="Arial" w:eastAsia="Arial" w:hAnsi="Arial"/>
            <w:sz w:val="16"/>
            <w:szCs w:val="16"/>
            <w:u w:val="single" w:color="auto"/>
            <w:color w:val="0000FF"/>
          </w:rPr>
          <w:t>GE HealthCare Restoration Plan (incorporated by reference to Exhibit 10.21 to the Registrant’s Amendment No. 1 to Form 10 filed with the</w:t>
        </w:r>
      </w:hyperlink>
      <w:r>
        <w:rPr>
          <w:rFonts w:ascii="Arial" w:cs="Arial" w:eastAsia="Arial" w:hAnsi="Arial"/>
          <w:sz w:val="16"/>
          <w:szCs w:val="16"/>
          <w:u w:val="single" w:color="auto"/>
          <w:color w:val="0000FF"/>
        </w:rPr>
        <w:t xml:space="preserve"> </w:t>
      </w:r>
      <w:hyperlink r:id="rId171">
        <w:r>
          <w:rPr>
            <w:rFonts w:ascii="Arial" w:cs="Arial" w:eastAsia="Arial" w:hAnsi="Arial"/>
            <w:sz w:val="16"/>
            <w:szCs w:val="16"/>
            <w:u w:val="single" w:color="auto"/>
            <w:color w:val="0000FF"/>
          </w:rPr>
          <w:t>SEC on November 7, 2022).</w:t>
        </w:r>
      </w:hyperlink>
    </w:p>
    <w:p>
      <w:pPr>
        <w:spacing w:after="0" w:line="1" w:lineRule="exact"/>
        <w:rPr>
          <w:sz w:val="20"/>
          <w:szCs w:val="20"/>
          <w:color w:val="auto"/>
        </w:rPr>
      </w:pPr>
    </w:p>
    <w:p>
      <w:pPr>
        <w:ind w:right="180"/>
        <w:spacing w:after="0" w:line="299" w:lineRule="auto"/>
        <w:rPr>
          <w:rFonts w:ascii="Arial" w:cs="Arial" w:eastAsia="Arial" w:hAnsi="Arial"/>
          <w:sz w:val="16"/>
          <w:szCs w:val="16"/>
          <w:u w:val="single" w:color="auto"/>
          <w:color w:val="0000FF"/>
        </w:rPr>
      </w:pPr>
      <w:hyperlink r:id="rId172">
        <w:r>
          <w:rPr>
            <w:rFonts w:ascii="Arial" w:cs="Arial" w:eastAsia="Arial" w:hAnsi="Arial"/>
            <w:sz w:val="16"/>
            <w:szCs w:val="16"/>
            <w:u w:val="single" w:color="auto"/>
            <w:color w:val="0000FF"/>
          </w:rPr>
          <w:t>One GE HealthCare Annual Bonus Plan (incorporated by reference to Exhibit 10.4 to the Registrant’s Current Report on Form 8-K filed with</w:t>
        </w:r>
      </w:hyperlink>
      <w:r>
        <w:rPr>
          <w:rFonts w:ascii="Arial" w:cs="Arial" w:eastAsia="Arial" w:hAnsi="Arial"/>
          <w:sz w:val="16"/>
          <w:szCs w:val="16"/>
          <w:u w:val="single" w:color="auto"/>
          <w:color w:val="0000FF"/>
        </w:rPr>
        <w:t xml:space="preserve"> </w:t>
      </w:r>
      <w:hyperlink r:id="rId172">
        <w:r>
          <w:rPr>
            <w:rFonts w:ascii="Arial" w:cs="Arial" w:eastAsia="Arial" w:hAnsi="Arial"/>
            <w:sz w:val="16"/>
            <w:szCs w:val="16"/>
            <w:u w:val="single" w:color="auto"/>
            <w:color w:val="0000FF"/>
          </w:rPr>
          <w:t>the SEC on February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240"/>
        <w:spacing w:after="0" w:line="299" w:lineRule="auto"/>
        <w:rPr>
          <w:rFonts w:ascii="Arial" w:cs="Arial" w:eastAsia="Arial" w:hAnsi="Arial"/>
          <w:sz w:val="16"/>
          <w:szCs w:val="16"/>
          <w:u w:val="single" w:color="auto"/>
          <w:color w:val="0000FF"/>
        </w:rPr>
      </w:pPr>
      <w:hyperlink r:id="rId174">
        <w:r>
          <w:rPr>
            <w:rFonts w:ascii="Arial" w:cs="Arial" w:eastAsia="Arial" w:hAnsi="Arial"/>
            <w:sz w:val="16"/>
            <w:szCs w:val="16"/>
            <w:u w:val="single" w:color="auto"/>
            <w:color w:val="0000FF"/>
          </w:rPr>
          <w:t>GE HealthCare US Severance and Change in Control Plan for CEO and Leadership Team (incorporated by reference to Exhibit 10.1 to the</w:t>
        </w:r>
      </w:hyperlink>
      <w:r>
        <w:rPr>
          <w:rFonts w:ascii="Arial" w:cs="Arial" w:eastAsia="Arial" w:hAnsi="Arial"/>
          <w:sz w:val="16"/>
          <w:szCs w:val="16"/>
          <w:u w:val="single" w:color="auto"/>
          <w:color w:val="0000FF"/>
        </w:rPr>
        <w:t xml:space="preserve"> </w:t>
      </w:r>
      <w:hyperlink r:id="rId174">
        <w:r>
          <w:rPr>
            <w:rFonts w:ascii="Arial" w:cs="Arial" w:eastAsia="Arial" w:hAnsi="Arial"/>
            <w:sz w:val="16"/>
            <w:szCs w:val="16"/>
            <w:u w:val="single" w:color="auto"/>
            <w:color w:val="0000FF"/>
          </w:rPr>
          <w:t>Registrant’s Quarterly Report on Form 10-Q filed with the SEC on July 25, 2023).</w:t>
        </w:r>
      </w:hyperlink>
    </w:p>
    <w:p>
      <w:pPr>
        <w:spacing w:after="0" w:line="1" w:lineRule="exact"/>
        <w:rPr>
          <w:sz w:val="20"/>
          <w:szCs w:val="20"/>
          <w:color w:val="auto"/>
        </w:rPr>
      </w:pPr>
    </w:p>
    <w:p>
      <w:pPr>
        <w:ind w:right="560"/>
        <w:spacing w:after="0" w:line="299" w:lineRule="auto"/>
        <w:rPr>
          <w:rFonts w:ascii="Arial" w:cs="Arial" w:eastAsia="Arial" w:hAnsi="Arial"/>
          <w:sz w:val="16"/>
          <w:szCs w:val="16"/>
          <w:u w:val="single" w:color="auto"/>
          <w:color w:val="0000FF"/>
        </w:rPr>
      </w:pPr>
      <w:hyperlink r:id="rId175">
        <w:r>
          <w:rPr>
            <w:rFonts w:ascii="Arial" w:cs="Arial" w:eastAsia="Arial" w:hAnsi="Arial"/>
            <w:sz w:val="16"/>
            <w:szCs w:val="16"/>
            <w:u w:val="single" w:color="auto"/>
            <w:color w:val="0000FF"/>
          </w:rPr>
          <w:t>GE HealthCare Non-Employee Director Compensation and Benefits Plan (incorporated by reference to Exhibit 10.9 to the Registrant’s</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Quarterly Report on Form 10-Q filed with the SEC on April 25,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6">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100"/>
        <w:spacing w:after="0" w:line="299" w:lineRule="auto"/>
        <w:rPr>
          <w:rFonts w:ascii="Arial" w:cs="Arial" w:eastAsia="Arial" w:hAnsi="Arial"/>
          <w:sz w:val="16"/>
          <w:szCs w:val="16"/>
          <w:u w:val="single" w:color="auto"/>
          <w:color w:val="0000FF"/>
        </w:rPr>
      </w:pPr>
      <w:hyperlink r:id="rId177">
        <w:r>
          <w:rPr>
            <w:rFonts w:ascii="Arial" w:cs="Arial" w:eastAsia="Arial" w:hAnsi="Arial"/>
            <w:sz w:val="16"/>
            <w:szCs w:val="16"/>
            <w:u w:val="single" w:color="auto"/>
            <w:color w:val="0000FF"/>
          </w:rPr>
          <w:t>2023 GE HealthCare Restricted Stock Unit Grant Agreement (incorporated by reference to Exhibit 10.1 to the Registrant’s Current Report on</w:t>
        </w:r>
      </w:hyperlink>
      <w:r>
        <w:rPr>
          <w:rFonts w:ascii="Arial" w:cs="Arial" w:eastAsia="Arial" w:hAnsi="Arial"/>
          <w:sz w:val="16"/>
          <w:szCs w:val="16"/>
          <w:u w:val="single" w:color="auto"/>
          <w:color w:val="0000FF"/>
        </w:rPr>
        <w:t xml:space="preserve"> </w:t>
      </w:r>
      <w:hyperlink r:id="rId177">
        <w:r>
          <w:rPr>
            <w:rFonts w:ascii="Arial" w:cs="Arial" w:eastAsia="Arial" w:hAnsi="Arial"/>
            <w:sz w:val="16"/>
            <w:szCs w:val="16"/>
            <w:u w:val="single" w:color="auto"/>
            <w:color w:val="0000FF"/>
          </w:rPr>
          <w:t>Form 8-K filed with the SEC on March 3, 2023).</w:t>
        </w:r>
      </w:hyperlink>
    </w:p>
    <w:p>
      <w:pPr>
        <w:spacing w:after="0" w:line="1" w:lineRule="exact"/>
        <w:rPr>
          <w:sz w:val="20"/>
          <w:szCs w:val="20"/>
          <w:color w:val="auto"/>
        </w:rPr>
      </w:pPr>
    </w:p>
    <w:p>
      <w:pPr>
        <w:ind w:right="80"/>
        <w:spacing w:after="0" w:line="299" w:lineRule="auto"/>
        <w:rPr>
          <w:rFonts w:ascii="Arial" w:cs="Arial" w:eastAsia="Arial" w:hAnsi="Arial"/>
          <w:sz w:val="16"/>
          <w:szCs w:val="16"/>
          <w:u w:val="single" w:color="auto"/>
          <w:color w:val="0000FF"/>
        </w:rPr>
      </w:pPr>
      <w:hyperlink r:id="rId178">
        <w:r>
          <w:rPr>
            <w:rFonts w:ascii="Arial" w:cs="Arial" w:eastAsia="Arial" w:hAnsi="Arial"/>
            <w:sz w:val="16"/>
            <w:szCs w:val="16"/>
            <w:u w:val="single" w:color="auto"/>
            <w:color w:val="0000FF"/>
          </w:rPr>
          <w:t>2023 GE HealthCare Stock Option Grant Agreement (incorporated by reference to Exhibit 10.2 to the Registrant’s Current Report on Form 8-</w:t>
        </w:r>
      </w:hyperlink>
      <w:hyperlink r:id="rId178">
        <w:r>
          <w:rPr>
            <w:rFonts w:ascii="Arial" w:cs="Arial" w:eastAsia="Arial" w:hAnsi="Arial"/>
            <w:sz w:val="16"/>
            <w:szCs w:val="16"/>
            <w:u w:val="single" w:color="auto"/>
            <w:color w:val="0000FF"/>
          </w:rPr>
          <w:t>K filed with the SEC on March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120"/>
        <w:spacing w:after="0" w:line="299" w:lineRule="auto"/>
        <w:rPr>
          <w:rFonts w:ascii="Arial" w:cs="Arial" w:eastAsia="Arial" w:hAnsi="Arial"/>
          <w:sz w:val="16"/>
          <w:szCs w:val="16"/>
          <w:u w:val="single" w:color="auto"/>
          <w:color w:val="0000FF"/>
        </w:rPr>
      </w:pPr>
      <w:hyperlink r:id="rId180">
        <w:r>
          <w:rPr>
            <w:rFonts w:ascii="Arial" w:cs="Arial" w:eastAsia="Arial" w:hAnsi="Arial"/>
            <w:sz w:val="16"/>
            <w:szCs w:val="16"/>
            <w:u w:val="single" w:color="auto"/>
            <w:color w:val="0000FF"/>
          </w:rPr>
          <w:t>2023 GE HealthCare Performance Stock Unit Grant Agreement (incorporated by reference to Exhibit 10.3 to the Registrant’s Current Report</w:t>
        </w:r>
      </w:hyperlink>
      <w:r>
        <w:rPr>
          <w:rFonts w:ascii="Arial" w:cs="Arial" w:eastAsia="Arial" w:hAnsi="Arial"/>
          <w:sz w:val="16"/>
          <w:szCs w:val="16"/>
          <w:u w:val="single" w:color="auto"/>
          <w:color w:val="0000FF"/>
        </w:rPr>
        <w:t xml:space="preserve"> </w:t>
      </w:r>
      <w:hyperlink r:id="rId180">
        <w:r>
          <w:rPr>
            <w:rFonts w:ascii="Arial" w:cs="Arial" w:eastAsia="Arial" w:hAnsi="Arial"/>
            <w:sz w:val="16"/>
            <w:szCs w:val="16"/>
            <w:u w:val="single" w:color="auto"/>
            <w:color w:val="0000FF"/>
          </w:rPr>
          <w:t>on Form 8-K filed with the SEC on March 3, 2023).</w:t>
        </w:r>
      </w:hyperlink>
    </w:p>
    <w:p>
      <w:pPr>
        <w:spacing w:after="0" w:line="1" w:lineRule="exact"/>
        <w:rPr>
          <w:sz w:val="20"/>
          <w:szCs w:val="20"/>
          <w:color w:val="auto"/>
        </w:rPr>
      </w:pPr>
    </w:p>
    <w:p>
      <w:pPr>
        <w:ind w:right="480"/>
        <w:spacing w:after="0" w:line="299" w:lineRule="auto"/>
        <w:rPr>
          <w:rFonts w:ascii="Arial" w:cs="Arial" w:eastAsia="Arial" w:hAnsi="Arial"/>
          <w:sz w:val="16"/>
          <w:szCs w:val="16"/>
          <w:u w:val="single" w:color="auto"/>
          <w:color w:val="0000FF"/>
        </w:rPr>
      </w:pPr>
      <w:hyperlink r:id="rId181">
        <w:r>
          <w:rPr>
            <w:rFonts w:ascii="Arial" w:cs="Arial" w:eastAsia="Arial" w:hAnsi="Arial"/>
            <w:sz w:val="16"/>
            <w:szCs w:val="16"/>
            <w:u w:val="single" w:color="auto"/>
            <w:color w:val="0000FF"/>
          </w:rPr>
          <w:t>2023 Global Addendum (incorporated by reference to Exhibit 10.3 to the Registrant’s Current Report on Form 8-K filed with the SEC on</w:t>
        </w:r>
      </w:hyperlink>
      <w:r>
        <w:rPr>
          <w:rFonts w:ascii="Arial" w:cs="Arial" w:eastAsia="Arial" w:hAnsi="Arial"/>
          <w:sz w:val="16"/>
          <w:szCs w:val="16"/>
          <w:u w:val="single" w:color="auto"/>
          <w:color w:val="0000FF"/>
        </w:rPr>
        <w:t xml:space="preserve"> </w:t>
      </w:r>
      <w:hyperlink r:id="rId181">
        <w:r>
          <w:rPr>
            <w:rFonts w:ascii="Arial" w:cs="Arial" w:eastAsia="Arial" w:hAnsi="Arial"/>
            <w:sz w:val="16"/>
            <w:szCs w:val="16"/>
            <w:u w:val="single" w:color="auto"/>
            <w:color w:val="0000FF"/>
          </w:rPr>
          <w:t>February 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spacing w:after="0"/>
        <w:rPr>
          <w:rFonts w:ascii="Arial" w:cs="Arial" w:eastAsia="Arial" w:hAnsi="Arial"/>
          <w:sz w:val="16"/>
          <w:szCs w:val="16"/>
          <w:u w:val="single" w:color="auto"/>
          <w:color w:val="0000FF"/>
        </w:rPr>
      </w:pPr>
      <w:hyperlink r:id="rId183">
        <w:r>
          <w:rPr>
            <w:rFonts w:ascii="Arial" w:cs="Arial" w:eastAsia="Arial" w:hAnsi="Arial"/>
            <w:sz w:val="16"/>
            <w:szCs w:val="16"/>
            <w:u w:val="single" w:color="auto"/>
            <w:color w:val="0000FF"/>
          </w:rPr>
          <w:t>2024 GE HealthCare Restricted Stock Unit Agreement (incorporated by reference to Exhibit 10.1 to the Registrant’s Quarterly Report on Form</w:t>
        </w:r>
      </w:hyperlink>
    </w:p>
    <w:p>
      <w:pPr>
        <w:spacing w:after="0" w:line="31" w:lineRule="exact"/>
        <w:rPr>
          <w:sz w:val="20"/>
          <w:szCs w:val="20"/>
          <w:color w:val="auto"/>
        </w:rPr>
      </w:pPr>
    </w:p>
    <w:p>
      <w:pPr>
        <w:spacing w:after="0"/>
        <w:rPr>
          <w:rFonts w:ascii="Arial" w:cs="Arial" w:eastAsia="Arial" w:hAnsi="Arial"/>
          <w:sz w:val="16"/>
          <w:szCs w:val="16"/>
          <w:u w:val="single" w:color="auto"/>
          <w:color w:val="0000FF"/>
        </w:rPr>
      </w:pPr>
      <w:hyperlink r:id="rId183">
        <w:r>
          <w:rPr>
            <w:rFonts w:ascii="Arial" w:cs="Arial" w:eastAsia="Arial" w:hAnsi="Arial"/>
            <w:sz w:val="16"/>
            <w:szCs w:val="16"/>
            <w:u w:val="single" w:color="auto"/>
            <w:color w:val="0000FF"/>
          </w:rPr>
          <w:t>10-Q filed with the SEC on April 30, 2024).</w:t>
        </w:r>
      </w:hyperlink>
    </w:p>
    <w:p>
      <w:pPr>
        <w:spacing w:after="0" w:line="60" w:lineRule="exact"/>
        <w:rPr>
          <w:sz w:val="20"/>
          <w:szCs w:val="20"/>
          <w:color w:val="auto"/>
        </w:rPr>
      </w:pPr>
    </w:p>
    <w:p>
      <w:pPr>
        <w:spacing w:after="0"/>
        <w:rPr>
          <w:rFonts w:ascii="Arial" w:cs="Arial" w:eastAsia="Arial" w:hAnsi="Arial"/>
          <w:sz w:val="16"/>
          <w:szCs w:val="16"/>
          <w:u w:val="single" w:color="auto"/>
          <w:color w:val="0000FF"/>
        </w:rPr>
      </w:pPr>
      <w:hyperlink r:id="rId184">
        <w:r>
          <w:rPr>
            <w:rFonts w:ascii="Arial" w:cs="Arial" w:eastAsia="Arial" w:hAnsi="Arial"/>
            <w:sz w:val="16"/>
            <w:szCs w:val="16"/>
            <w:u w:val="single" w:color="auto"/>
            <w:color w:val="0000FF"/>
          </w:rPr>
          <w:t>2024 GE HealthCare Stock Option Grant Agreement (incorporated by reference to Exhibit 10.2 to the Registrant’s Quarterly Report on Form</w:t>
        </w:r>
      </w:hyperlink>
    </w:p>
    <w:p>
      <w:pPr>
        <w:spacing w:after="0" w:line="31" w:lineRule="exact"/>
        <w:rPr>
          <w:sz w:val="20"/>
          <w:szCs w:val="20"/>
          <w:color w:val="auto"/>
        </w:rPr>
      </w:pPr>
    </w:p>
    <w:p>
      <w:pPr>
        <w:spacing w:after="0"/>
        <w:rPr>
          <w:rFonts w:ascii="Arial" w:cs="Arial" w:eastAsia="Arial" w:hAnsi="Arial"/>
          <w:sz w:val="16"/>
          <w:szCs w:val="16"/>
          <w:u w:val="single" w:color="auto"/>
          <w:color w:val="0000FF"/>
        </w:rPr>
      </w:pPr>
      <w:hyperlink r:id="rId184">
        <w:r>
          <w:rPr>
            <w:rFonts w:ascii="Arial" w:cs="Arial" w:eastAsia="Arial" w:hAnsi="Arial"/>
            <w:sz w:val="16"/>
            <w:szCs w:val="16"/>
            <w:u w:val="single" w:color="auto"/>
            <w:color w:val="0000FF"/>
          </w:rPr>
          <w:t>10-Q filed with the SEC on April 30,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30480</wp:posOffset>
            </wp:positionV>
            <wp:extent cx="7098030" cy="291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5">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spacing w:after="0" w:line="40" w:lineRule="exact"/>
        <w:rPr>
          <w:sz w:val="20"/>
          <w:szCs w:val="20"/>
          <w:color w:val="auto"/>
        </w:rPr>
      </w:pPr>
    </w:p>
    <w:p>
      <w:pPr>
        <w:spacing w:after="0" w:line="299" w:lineRule="auto"/>
        <w:rPr>
          <w:rFonts w:ascii="Arial" w:cs="Arial" w:eastAsia="Arial" w:hAnsi="Arial"/>
          <w:sz w:val="16"/>
          <w:szCs w:val="16"/>
          <w:u w:val="single" w:color="auto"/>
          <w:color w:val="0000FF"/>
        </w:rPr>
      </w:pPr>
      <w:hyperlink r:id="rId186">
        <w:r>
          <w:rPr>
            <w:rFonts w:ascii="Arial" w:cs="Arial" w:eastAsia="Arial" w:hAnsi="Arial"/>
            <w:sz w:val="16"/>
            <w:szCs w:val="16"/>
            <w:u w:val="single" w:color="auto"/>
            <w:color w:val="0000FF"/>
          </w:rPr>
          <w:t>2024 GE HealthCare Performance Stock Unit Grant Agreement (incorporated by reference to Exhibit 10.3 to the Registrant’s Quarterly Report</w:t>
        </w:r>
      </w:hyperlink>
      <w:r>
        <w:rPr>
          <w:rFonts w:ascii="Arial" w:cs="Arial" w:eastAsia="Arial" w:hAnsi="Arial"/>
          <w:sz w:val="16"/>
          <w:szCs w:val="16"/>
          <w:u w:val="single" w:color="auto"/>
          <w:color w:val="0000FF"/>
        </w:rPr>
        <w:t xml:space="preserve"> </w:t>
      </w:r>
      <w:hyperlink r:id="rId186">
        <w:r>
          <w:rPr>
            <w:rFonts w:ascii="Arial" w:cs="Arial" w:eastAsia="Arial" w:hAnsi="Arial"/>
            <w:sz w:val="16"/>
            <w:szCs w:val="16"/>
            <w:u w:val="single" w:color="auto"/>
            <w:color w:val="0000FF"/>
          </w:rPr>
          <w:t>on Form 10-Q filed with the SEC on April 30, 2024).</w:t>
        </w:r>
      </w:hyperlink>
    </w:p>
    <w:p>
      <w:pPr>
        <w:spacing w:after="0" w:line="1" w:lineRule="exact"/>
        <w:rPr>
          <w:sz w:val="20"/>
          <w:szCs w:val="20"/>
          <w:color w:val="auto"/>
        </w:rPr>
      </w:pPr>
    </w:p>
    <w:p>
      <w:pPr>
        <w:ind w:right="240"/>
        <w:spacing w:after="0" w:line="299" w:lineRule="auto"/>
        <w:rPr>
          <w:rFonts w:ascii="Arial" w:cs="Arial" w:eastAsia="Arial" w:hAnsi="Arial"/>
          <w:sz w:val="16"/>
          <w:szCs w:val="16"/>
          <w:u w:val="single" w:color="auto"/>
          <w:color w:val="0000FF"/>
        </w:rPr>
      </w:pPr>
      <w:hyperlink r:id="rId187">
        <w:r>
          <w:rPr>
            <w:rFonts w:ascii="Arial" w:cs="Arial" w:eastAsia="Arial" w:hAnsi="Arial"/>
            <w:sz w:val="16"/>
            <w:szCs w:val="16"/>
            <w:u w:val="single" w:color="auto"/>
            <w:color w:val="0000FF"/>
          </w:rPr>
          <w:t>2024 Global Addendum (incorporated by reference to Exhibit 10.4 to the Registrant’s Quarterly Report on Form 10-Q filed with the SEC on</w:t>
        </w:r>
      </w:hyperlink>
      <w:r>
        <w:rPr>
          <w:rFonts w:ascii="Arial" w:cs="Arial" w:eastAsia="Arial" w:hAnsi="Arial"/>
          <w:sz w:val="16"/>
          <w:szCs w:val="16"/>
          <w:u w:val="single" w:color="auto"/>
          <w:color w:val="0000FF"/>
        </w:rPr>
        <w:t xml:space="preserve"> </w:t>
      </w:r>
      <w:hyperlink r:id="rId187">
        <w:r>
          <w:rPr>
            <w:rFonts w:ascii="Arial" w:cs="Arial" w:eastAsia="Arial" w:hAnsi="Arial"/>
            <w:sz w:val="16"/>
            <w:szCs w:val="16"/>
            <w:u w:val="single" w:color="auto"/>
            <w:color w:val="0000FF"/>
          </w:rPr>
          <w:t>April 30,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200"/>
        <w:spacing w:after="0" w:line="299" w:lineRule="auto"/>
        <w:rPr>
          <w:rFonts w:ascii="Arial" w:cs="Arial" w:eastAsia="Arial" w:hAnsi="Arial"/>
          <w:sz w:val="16"/>
          <w:szCs w:val="16"/>
          <w:u w:val="single" w:color="auto"/>
          <w:color w:val="0000FF"/>
        </w:rPr>
      </w:pPr>
      <w:hyperlink r:id="rId189">
        <w:r>
          <w:rPr>
            <w:rFonts w:ascii="Arial" w:cs="Arial" w:eastAsia="Arial" w:hAnsi="Arial"/>
            <w:sz w:val="16"/>
            <w:szCs w:val="16"/>
            <w:u w:val="single" w:color="auto"/>
            <w:color w:val="0000FF"/>
          </w:rPr>
          <w:t>2025 GE HealthCare Restricted Stock Unit Grant Agreement (incorporated by reference to Exhibit 10.4 to the Registrant’s Quarterly Report</w:t>
        </w:r>
      </w:hyperlink>
      <w:r>
        <w:rPr>
          <w:rFonts w:ascii="Arial" w:cs="Arial" w:eastAsia="Arial" w:hAnsi="Arial"/>
          <w:sz w:val="16"/>
          <w:szCs w:val="16"/>
          <w:u w:val="single" w:color="auto"/>
          <w:color w:val="0000FF"/>
        </w:rPr>
        <w:t xml:space="preserve"> </w:t>
      </w:r>
      <w:hyperlink r:id="rId189">
        <w:r>
          <w:rPr>
            <w:rFonts w:ascii="Arial" w:cs="Arial" w:eastAsia="Arial" w:hAnsi="Arial"/>
            <w:sz w:val="16"/>
            <w:szCs w:val="16"/>
            <w:u w:val="single" w:color="auto"/>
            <w:color w:val="0000FF"/>
          </w:rPr>
          <w:t>on Form 10-Q filed with the SEC on April 30, 2025).</w:t>
        </w:r>
      </w:hyperlink>
    </w:p>
    <w:p>
      <w:pPr>
        <w:spacing w:after="0" w:line="1" w:lineRule="exact"/>
        <w:rPr>
          <w:sz w:val="20"/>
          <w:szCs w:val="20"/>
          <w:color w:val="auto"/>
        </w:rPr>
      </w:pPr>
    </w:p>
    <w:p>
      <w:pPr>
        <w:spacing w:after="0"/>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2025 GE HealthCare Stock Option Grant Agreement (incorporated by reference to Exhibit 10.5 to the Registrant’s Quarterly Report on Form</w:t>
        </w:r>
      </w:hyperlink>
    </w:p>
    <w:p>
      <w:pPr>
        <w:spacing w:after="0" w:line="31" w:lineRule="exact"/>
        <w:rPr>
          <w:sz w:val="20"/>
          <w:szCs w:val="20"/>
          <w:color w:val="auto"/>
        </w:rPr>
      </w:pPr>
    </w:p>
    <w:p>
      <w:pPr>
        <w:spacing w:after="0"/>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10-Q filed with the SEC on April 30,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30480</wp:posOffset>
            </wp:positionV>
            <wp:extent cx="7098030" cy="2914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spacing w:after="0" w:line="40" w:lineRule="exact"/>
        <w:rPr>
          <w:sz w:val="20"/>
          <w:szCs w:val="20"/>
          <w:color w:val="auto"/>
        </w:rPr>
      </w:pPr>
    </w:p>
    <w:p>
      <w:pPr>
        <w:spacing w:after="0" w:line="299" w:lineRule="auto"/>
        <w:rPr>
          <w:rFonts w:ascii="Arial" w:cs="Arial" w:eastAsia="Arial" w:hAnsi="Arial"/>
          <w:sz w:val="16"/>
          <w:szCs w:val="16"/>
          <w:u w:val="single" w:color="auto"/>
          <w:color w:val="0000FF"/>
        </w:rPr>
      </w:pPr>
      <w:hyperlink r:id="rId192">
        <w:r>
          <w:rPr>
            <w:rFonts w:ascii="Arial" w:cs="Arial" w:eastAsia="Arial" w:hAnsi="Arial"/>
            <w:sz w:val="16"/>
            <w:szCs w:val="16"/>
            <w:u w:val="single" w:color="auto"/>
            <w:color w:val="0000FF"/>
          </w:rPr>
          <w:t>2025 GE HealthCare Performance Stock Unit Grant Agreement (incorporated by reference to Exhibit 10.6 to the Registrant’s Quarterly Report</w:t>
        </w:r>
      </w:hyperlink>
      <w:r>
        <w:rPr>
          <w:rFonts w:ascii="Arial" w:cs="Arial" w:eastAsia="Arial" w:hAnsi="Arial"/>
          <w:sz w:val="16"/>
          <w:szCs w:val="16"/>
          <w:u w:val="single" w:color="auto"/>
          <w:color w:val="0000FF"/>
        </w:rPr>
        <w:t xml:space="preserve"> </w:t>
      </w:r>
      <w:hyperlink r:id="rId192">
        <w:r>
          <w:rPr>
            <w:rFonts w:ascii="Arial" w:cs="Arial" w:eastAsia="Arial" w:hAnsi="Arial"/>
            <w:sz w:val="16"/>
            <w:szCs w:val="16"/>
            <w:u w:val="single" w:color="auto"/>
            <w:color w:val="0000FF"/>
          </w:rPr>
          <w:t>on Form 10-Q filed with the SEC on April 30, 2025).</w:t>
        </w:r>
      </w:hyperlink>
    </w:p>
    <w:p>
      <w:pPr>
        <w:spacing w:after="0" w:line="1" w:lineRule="exact"/>
        <w:rPr>
          <w:sz w:val="20"/>
          <w:szCs w:val="20"/>
          <w:color w:val="auto"/>
        </w:rPr>
      </w:pPr>
    </w:p>
    <w:p>
      <w:pPr>
        <w:ind w:right="20"/>
        <w:spacing w:after="0" w:line="299" w:lineRule="auto"/>
        <w:rPr>
          <w:rFonts w:ascii="Arial" w:cs="Arial" w:eastAsia="Arial" w:hAnsi="Arial"/>
          <w:sz w:val="16"/>
          <w:szCs w:val="16"/>
          <w:u w:val="single" w:color="auto"/>
          <w:color w:val="0000FF"/>
        </w:rPr>
      </w:pPr>
      <w:hyperlink r:id="rId193">
        <w:r>
          <w:rPr>
            <w:rFonts w:ascii="Arial" w:cs="Arial" w:eastAsia="Arial" w:hAnsi="Arial"/>
            <w:sz w:val="16"/>
            <w:szCs w:val="16"/>
            <w:u w:val="single" w:color="auto"/>
            <w:color w:val="0000FF"/>
          </w:rPr>
          <w:t>2025 GE HealthCare New Hire Restricted Stock Unit Grant Agreement (incorporated by reference to Exhibit 10.7 to the Registrant’s Quarterly</w:t>
        </w:r>
      </w:hyperlink>
      <w:r>
        <w:rPr>
          <w:rFonts w:ascii="Arial" w:cs="Arial" w:eastAsia="Arial" w:hAnsi="Arial"/>
          <w:sz w:val="16"/>
          <w:szCs w:val="16"/>
          <w:u w:val="single" w:color="auto"/>
          <w:color w:val="0000FF"/>
        </w:rPr>
        <w:t xml:space="preserve"> </w:t>
      </w:r>
      <w:hyperlink r:id="rId193">
        <w:r>
          <w:rPr>
            <w:rFonts w:ascii="Arial" w:cs="Arial" w:eastAsia="Arial" w:hAnsi="Arial"/>
            <w:sz w:val="16"/>
            <w:szCs w:val="16"/>
            <w:u w:val="single" w:color="auto"/>
            <w:color w:val="0000FF"/>
          </w:rPr>
          <w:t>Report on Form 10-Q filed with the SEC on April 30,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-6985</wp:posOffset>
            </wp:positionV>
            <wp:extent cx="7098030" cy="2914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ind w:right="240"/>
        <w:spacing w:after="0" w:line="299" w:lineRule="auto"/>
        <w:rPr>
          <w:rFonts w:ascii="Arial" w:cs="Arial" w:eastAsia="Arial" w:hAnsi="Arial"/>
          <w:sz w:val="16"/>
          <w:szCs w:val="16"/>
          <w:u w:val="single" w:color="auto"/>
          <w:color w:val="0000FF"/>
        </w:rPr>
      </w:pPr>
      <w:hyperlink r:id="rId195">
        <w:r>
          <w:rPr>
            <w:rFonts w:ascii="Arial" w:cs="Arial" w:eastAsia="Arial" w:hAnsi="Arial"/>
            <w:sz w:val="16"/>
            <w:szCs w:val="16"/>
            <w:u w:val="single" w:color="auto"/>
            <w:color w:val="0000FF"/>
          </w:rPr>
          <w:t>2025 Global Addendum (incorporated by reference to Exhibit 10.8 to the Registrant’s Quarterly Report on Form 10-Q filed with the SEC on</w:t>
        </w:r>
      </w:hyperlink>
      <w:r>
        <w:rPr>
          <w:rFonts w:ascii="Arial" w:cs="Arial" w:eastAsia="Arial" w:hAnsi="Arial"/>
          <w:sz w:val="16"/>
          <w:szCs w:val="16"/>
          <w:u w:val="single" w:color="auto"/>
          <w:color w:val="0000FF"/>
        </w:rPr>
        <w:t xml:space="preserve"> </w:t>
      </w:r>
      <w:hyperlink r:id="rId195">
        <w:r>
          <w:rPr>
            <w:rFonts w:ascii="Arial" w:cs="Arial" w:eastAsia="Arial" w:hAnsi="Arial"/>
            <w:sz w:val="16"/>
            <w:szCs w:val="16"/>
            <w:u w:val="single" w:color="auto"/>
            <w:color w:val="0000FF"/>
          </w:rPr>
          <w:t>April 30, 2025).</w:t>
        </w:r>
      </w:hyperlink>
    </w:p>
    <w:p>
      <w:pPr>
        <w:spacing w:after="0" w:line="1" w:lineRule="exact"/>
        <w:rPr>
          <w:sz w:val="20"/>
          <w:szCs w:val="20"/>
          <w:color w:val="auto"/>
        </w:rPr>
      </w:pPr>
    </w:p>
    <w:p>
      <w:pPr>
        <w:ind w:right="440"/>
        <w:spacing w:after="0" w:line="304" w:lineRule="auto"/>
        <w:rPr>
          <w:rFonts w:ascii="Arial" w:cs="Arial" w:eastAsia="Arial" w:hAnsi="Arial"/>
          <w:sz w:val="16"/>
          <w:szCs w:val="16"/>
          <w:u w:val="single" w:color="auto"/>
          <w:color w:val="0000FF"/>
        </w:rPr>
      </w:pPr>
      <w:hyperlink r:id="rId196">
        <w:r>
          <w:rPr>
            <w:rFonts w:ascii="Arial" w:cs="Arial" w:eastAsia="Arial" w:hAnsi="Arial"/>
            <w:sz w:val="16"/>
            <w:szCs w:val="16"/>
            <w:u w:val="single" w:color="auto"/>
            <w:color w:val="0000FF"/>
          </w:rPr>
          <w:t>GE HealthCare Director Restricted Stock Unit Grant Agreement (incorporated by reference to Exhibit 10.10 to the Registrant’s Quarterly</w:t>
        </w:r>
      </w:hyperlink>
      <w:r>
        <w:rPr>
          <w:rFonts w:ascii="Arial" w:cs="Arial" w:eastAsia="Arial" w:hAnsi="Arial"/>
          <w:sz w:val="16"/>
          <w:szCs w:val="16"/>
          <w:u w:val="single" w:color="auto"/>
          <w:color w:val="0000FF"/>
        </w:rPr>
        <w:t xml:space="preserve"> </w:t>
      </w:r>
      <w:hyperlink r:id="rId196">
        <w:r>
          <w:rPr>
            <w:rFonts w:ascii="Arial" w:cs="Arial" w:eastAsia="Arial" w:hAnsi="Arial"/>
            <w:sz w:val="16"/>
            <w:szCs w:val="16"/>
            <w:u w:val="single" w:color="auto"/>
            <w:color w:val="0000FF"/>
          </w:rPr>
          <w:t>Report on Form 10-Q filed with the SEC on April 25, 2023).</w:t>
        </w:r>
      </w:hyperlink>
    </w:p>
    <w:p>
      <w:pPr>
        <w:spacing w:after="0" w:line="200" w:lineRule="exact"/>
        <w:rPr>
          <w:sz w:val="20"/>
          <w:szCs w:val="20"/>
          <w:color w:val="auto"/>
        </w:rPr>
      </w:pPr>
    </w:p>
    <w:p>
      <w:pPr>
        <w:sectPr>
          <w:pgSz w:w="11900" w:h="16838" w:orient="portrait"/>
          <w:cols w:equalWidth="0" w:num="2">
            <w:col w:w="760" w:space="260"/>
            <w:col w:w="10160"/>
          </w:cols>
          <w:pgMar w:left="320" w:top="13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4"/>
          <w:szCs w:val="14"/>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537845</wp:posOffset>
            </wp:positionV>
            <wp:extent cx="7098030" cy="291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8">
                      <a:extLst>
                        <a:ext uri="{28A0092B-C50C-407E-A947-70E740481C1C}"/>
                      </a:extLst>
                    </a:blip>
                    <a:srcRect/>
                    <a:stretch>
                      <a:fillRect/>
                    </a:stretch>
                  </pic:blipFill>
                  <pic:spPr bwMode="auto">
                    <a:xfrm>
                      <a:off x="0" y="0"/>
                      <a:ext cx="7098030" cy="29146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10.36*</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19.1</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21.1</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23.1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60"/>
        <w:spacing w:after="0" w:line="299" w:lineRule="auto"/>
        <w:rPr>
          <w:rFonts w:ascii="Arial" w:cs="Arial" w:eastAsia="Arial" w:hAnsi="Arial"/>
          <w:sz w:val="16"/>
          <w:szCs w:val="16"/>
          <w:u w:val="single" w:color="auto"/>
          <w:color w:val="0000FF"/>
        </w:rPr>
      </w:pPr>
      <w:hyperlink r:id="rId199">
        <w:r>
          <w:rPr>
            <w:rFonts w:ascii="Arial" w:cs="Arial" w:eastAsia="Arial" w:hAnsi="Arial"/>
            <w:sz w:val="16"/>
            <w:szCs w:val="16"/>
            <w:u w:val="single" w:color="auto"/>
            <w:color w:val="0000FF"/>
          </w:rPr>
          <w:t>GE HealthCare Director Deferred Stock Unit Grant Agreement (incorporated by reference to Exhibit 10.11 to the Registrant’s Quarterly Report</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on Form 10-Q filed with the SEC on April 25, 2023).</w:t>
        </w:r>
      </w:hyperlink>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GE HealthCare Technologies Inc. 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38100</wp:posOffset>
            </wp:positionV>
            <wp:extent cx="7098030" cy="1625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7098030" cy="16256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Subsidiaries of the Registrant.</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Consent of Independent Registered Public Accounting Firm</w:t>
      </w:r>
      <w:r>
        <w:rPr>
          <w:rFonts w:ascii="Arial" w:cs="Arial" w:eastAsia="Arial" w:hAnsi="Arial"/>
          <w:sz w:val="16"/>
          <w:szCs w:val="16"/>
          <w:color w:val="000000"/>
        </w:rPr>
        <w:t>.</w:t>
      </w:r>
    </w:p>
    <w:p>
      <w:pPr>
        <w:spacing w:after="0" w:line="60" w:lineRule="exact"/>
        <w:rPr>
          <w:sz w:val="20"/>
          <w:szCs w:val="20"/>
          <w:color w:val="auto"/>
        </w:rPr>
      </w:pPr>
    </w:p>
    <w:p>
      <w:pPr>
        <w:sectPr>
          <w:pgSz w:w="11900" w:h="16838" w:orient="portrait"/>
          <w:cols w:equalWidth="0" w:num="2">
            <w:col w:w="760" w:space="260"/>
            <w:col w:w="10200"/>
          </w:cols>
          <w:pgMar w:left="320" w:top="130" w:right="359" w:bottom="1440" w:gutter="0" w:footer="0" w:header="0"/>
          <w:type w:val="continuous"/>
        </w:sectPr>
      </w:pPr>
    </w:p>
    <w:tbl>
      <w:tblPr>
        <w:tblLayout w:type="fixed"/>
        <w:tblInd w:w="40" w:type="dxa"/>
        <w:tblCellMar>
          <w:top w:w="0" w:type="dxa"/>
          <w:left w:w="0" w:type="dxa"/>
          <w:bottom w:w="0" w:type="dxa"/>
          <w:right w:w="0" w:type="dxa"/>
        </w:tblCellMar>
      </w:tblPr>
      <w:tr>
        <w:trPr>
          <w:trHeight w:val="189"/>
        </w:trPr>
        <w:tc>
          <w:tcPr>
            <w:tcW w:w="980" w:type="dxa"/>
            <w:vAlign w:val="bottom"/>
            <w:vMerge w:val="restart"/>
            <w:shd w:val="clear" w:color="auto" w:fill="E4E4E4"/>
          </w:tcPr>
          <w:p>
            <w:pPr>
              <w:jc w:val="right"/>
              <w:ind w:right="259"/>
              <w:spacing w:after="0"/>
              <w:rPr>
                <w:sz w:val="20"/>
                <w:szCs w:val="20"/>
                <w:color w:val="auto"/>
              </w:rPr>
            </w:pPr>
            <w:r>
              <w:rPr>
                <w:rFonts w:ascii="Arial" w:cs="Arial" w:eastAsia="Arial" w:hAnsi="Arial"/>
                <w:sz w:val="16"/>
                <w:szCs w:val="16"/>
                <w:color w:val="auto"/>
              </w:rPr>
              <w:t>31.1</w:t>
            </w:r>
          </w:p>
        </w:tc>
        <w:tc>
          <w:tcPr>
            <w:tcW w:w="10200" w:type="dxa"/>
            <w:vAlign w:val="bottom"/>
            <w:gridSpan w:val="7"/>
            <w:shd w:val="clear" w:color="auto" w:fill="E4E4E4"/>
          </w:tcPr>
          <w:p>
            <w:pPr>
              <w:spacing w:after="0"/>
              <w:rPr>
                <w:sz w:val="20"/>
                <w:szCs w:val="20"/>
                <w:color w:val="auto"/>
              </w:rPr>
            </w:pPr>
            <w:r>
              <w:rPr>
                <w:rFonts w:ascii="Arial" w:cs="Arial" w:eastAsia="Arial" w:hAnsi="Arial"/>
                <w:sz w:val="16"/>
                <w:szCs w:val="16"/>
                <w:color w:val="0000FF"/>
              </w:rPr>
              <w:t>Certification of the Registrant’s Chief Executive Officer pursuant to Rule 13a-14(a)/15d-14(a) of the Securities Exchange Act of 1934, as</w:t>
            </w:r>
          </w:p>
        </w:tc>
        <w:tc>
          <w:tcPr>
            <w:tcW w:w="0" w:type="dxa"/>
            <w:vAlign w:val="bottom"/>
          </w:tcPr>
          <w:p>
            <w:pPr>
              <w:spacing w:after="0"/>
              <w:rPr>
                <w:sz w:val="1"/>
                <w:szCs w:val="1"/>
                <w:color w:val="auto"/>
              </w:rPr>
            </w:pPr>
          </w:p>
        </w:tc>
      </w:tr>
      <w:tr>
        <w:trPr>
          <w:trHeight w:val="113"/>
        </w:trPr>
        <w:tc>
          <w:tcPr>
            <w:tcW w:w="980" w:type="dxa"/>
            <w:vAlign w:val="bottom"/>
            <w:tcBorders>
              <w:top w:val="single" w:sz="8" w:color="E4E4E4"/>
            </w:tcBorders>
            <w:vMerge w:val="continue"/>
            <w:shd w:val="clear" w:color="auto" w:fill="E4E4E4"/>
          </w:tcPr>
          <w:p>
            <w:pPr>
              <w:spacing w:after="0"/>
              <w:rPr>
                <w:sz w:val="9"/>
                <w:szCs w:val="9"/>
                <w:color w:val="auto"/>
              </w:rPr>
            </w:pPr>
          </w:p>
        </w:tc>
        <w:tc>
          <w:tcPr>
            <w:tcW w:w="5900" w:type="dxa"/>
            <w:vAlign w:val="bottom"/>
            <w:tcBorders>
              <w:top w:val="single" w:sz="8" w:color="0000FF"/>
            </w:tcBorders>
            <w:gridSpan w:val="3"/>
            <w:vMerge w:val="restart"/>
            <w:shd w:val="clear" w:color="auto" w:fill="E4E4E4"/>
          </w:tcPr>
          <w:p>
            <w:pPr>
              <w:spacing w:after="0" w:line="183" w:lineRule="exact"/>
              <w:rPr>
                <w:sz w:val="20"/>
                <w:szCs w:val="20"/>
                <w:color w:val="auto"/>
              </w:rPr>
            </w:pPr>
            <w:r>
              <w:rPr>
                <w:rFonts w:ascii="Arial" w:cs="Arial" w:eastAsia="Arial" w:hAnsi="Arial"/>
                <w:sz w:val="16"/>
                <w:szCs w:val="16"/>
                <w:color w:val="0000FF"/>
              </w:rPr>
              <w:t>amended, as adopted pursuant to Section 302 of the Sarbanes-Oxley Act of 2002.</w:t>
            </w:r>
          </w:p>
        </w:tc>
        <w:tc>
          <w:tcPr>
            <w:tcW w:w="3820" w:type="dxa"/>
            <w:vAlign w:val="bottom"/>
            <w:tcBorders>
              <w:top w:val="single" w:sz="8" w:color="0000FF"/>
            </w:tcBorders>
            <w:gridSpan w:val="2"/>
            <w:vMerge w:val="restart"/>
            <w:shd w:val="clear" w:color="auto" w:fill="E4E4E4"/>
          </w:tcPr>
          <w:p>
            <w:pPr>
              <w:spacing w:after="0"/>
              <w:rPr>
                <w:sz w:val="9"/>
                <w:szCs w:val="9"/>
                <w:color w:val="auto"/>
              </w:rPr>
            </w:pPr>
          </w:p>
        </w:tc>
        <w:tc>
          <w:tcPr>
            <w:tcW w:w="480" w:type="dxa"/>
            <w:vAlign w:val="bottom"/>
            <w:tcBorders>
              <w:top w:val="single" w:sz="8" w:color="E4E4E4"/>
            </w:tcBorders>
            <w:gridSpan w:val="2"/>
            <w:vMerge w:val="restart"/>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80" w:type="dxa"/>
            <w:vAlign w:val="bottom"/>
            <w:tcBorders>
              <w:bottom w:val="single" w:sz="8" w:color="E4E4E4"/>
            </w:tcBorders>
            <w:shd w:val="clear" w:color="auto" w:fill="E4E4E4"/>
          </w:tcPr>
          <w:p>
            <w:pPr>
              <w:spacing w:after="0"/>
              <w:rPr>
                <w:sz w:val="10"/>
                <w:szCs w:val="10"/>
                <w:color w:val="auto"/>
              </w:rPr>
            </w:pPr>
          </w:p>
        </w:tc>
        <w:tc>
          <w:tcPr>
            <w:tcW w:w="5900" w:type="dxa"/>
            <w:vAlign w:val="bottom"/>
            <w:tcBorders>
              <w:bottom w:val="single" w:sz="8" w:color="0000FF"/>
            </w:tcBorders>
            <w:gridSpan w:val="3"/>
            <w:vMerge w:val="continue"/>
            <w:shd w:val="clear" w:color="auto" w:fill="E4E4E4"/>
          </w:tcPr>
          <w:p>
            <w:pPr>
              <w:spacing w:after="0"/>
              <w:rPr>
                <w:sz w:val="10"/>
                <w:szCs w:val="10"/>
                <w:color w:val="auto"/>
              </w:rPr>
            </w:pPr>
          </w:p>
        </w:tc>
        <w:tc>
          <w:tcPr>
            <w:tcW w:w="3820" w:type="dxa"/>
            <w:vAlign w:val="bottom"/>
            <w:tcBorders>
              <w:bottom w:val="single" w:sz="8" w:color="E4E4E4"/>
            </w:tcBorders>
            <w:gridSpan w:val="2"/>
            <w:vMerge w:val="continue"/>
            <w:shd w:val="clear" w:color="auto" w:fill="E4E4E4"/>
          </w:tcPr>
          <w:p>
            <w:pPr>
              <w:spacing w:after="0"/>
              <w:rPr>
                <w:sz w:val="10"/>
                <w:szCs w:val="10"/>
                <w:color w:val="auto"/>
              </w:rPr>
            </w:pPr>
          </w:p>
        </w:tc>
        <w:tc>
          <w:tcPr>
            <w:tcW w:w="480" w:type="dxa"/>
            <w:vAlign w:val="bottom"/>
            <w:tcBorders>
              <w:bottom w:val="single" w:sz="8" w:color="E4E4E4"/>
            </w:tcBorders>
            <w:gridSpan w:val="2"/>
            <w:vMerge w:val="continue"/>
            <w:shd w:val="clear" w:color="auto" w:fill="E4E4E4"/>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right"/>
              <w:ind w:right="259"/>
              <w:spacing w:after="0"/>
              <w:rPr>
                <w:sz w:val="20"/>
                <w:szCs w:val="20"/>
                <w:color w:val="auto"/>
              </w:rPr>
            </w:pPr>
            <w:r>
              <w:rPr>
                <w:rFonts w:ascii="Arial" w:cs="Arial" w:eastAsia="Arial" w:hAnsi="Arial"/>
                <w:sz w:val="16"/>
                <w:szCs w:val="16"/>
                <w:color w:val="auto"/>
              </w:rPr>
              <w:t>31.2</w:t>
            </w:r>
          </w:p>
        </w:tc>
        <w:tc>
          <w:tcPr>
            <w:tcW w:w="968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rPr>
              <w:t>Certification of the Registrant’s Chief Financial Officer pursuant to Rule 13a-14(a)/15d-14(a) of the Securities Exchange Act of 1934, as</w:t>
            </w:r>
          </w:p>
        </w:tc>
        <w:tc>
          <w:tcPr>
            <w:tcW w:w="5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10200" w:type="dxa"/>
            <w:vAlign w:val="bottom"/>
            <w:gridSpan w:val="7"/>
            <w:vMerge w:val="restart"/>
          </w:tcPr>
          <w:p>
            <w:pPr>
              <w:spacing w:after="0" w:line="183" w:lineRule="exact"/>
              <w:rPr>
                <w:sz w:val="20"/>
                <w:szCs w:val="20"/>
                <w:color w:val="auto"/>
              </w:rPr>
            </w:pPr>
            <w:r>
              <w:rPr>
                <w:rFonts w:ascii="Arial" w:cs="Arial" w:eastAsia="Arial" w:hAnsi="Arial"/>
                <w:sz w:val="16"/>
                <w:szCs w:val="16"/>
                <w:color w:val="0000FF"/>
              </w:rPr>
              <w:t>amended, as adopted pursuant to Section 302 of the Sarbanes-Oxley Act of 2002.</w:t>
            </w:r>
          </w:p>
        </w:tc>
        <w:tc>
          <w:tcPr>
            <w:tcW w:w="0" w:type="dxa"/>
            <w:vAlign w:val="bottom"/>
          </w:tcPr>
          <w:p>
            <w:pPr>
              <w:spacing w:after="0"/>
              <w:rPr>
                <w:sz w:val="1"/>
                <w:szCs w:val="1"/>
                <w:color w:val="auto"/>
              </w:rPr>
            </w:pPr>
          </w:p>
        </w:tc>
      </w:tr>
      <w:tr>
        <w:trPr>
          <w:trHeight w:val="70"/>
        </w:trPr>
        <w:tc>
          <w:tcPr>
            <w:tcW w:w="980" w:type="dxa"/>
            <w:vAlign w:val="bottom"/>
          </w:tcPr>
          <w:p>
            <w:pPr>
              <w:spacing w:after="0"/>
              <w:rPr>
                <w:sz w:val="6"/>
                <w:szCs w:val="6"/>
                <w:color w:val="auto"/>
              </w:rPr>
            </w:pPr>
          </w:p>
        </w:tc>
        <w:tc>
          <w:tcPr>
            <w:tcW w:w="102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Pr>
          <w:p>
            <w:pPr>
              <w:spacing w:after="0"/>
              <w:rPr>
                <w:sz w:val="4"/>
                <w:szCs w:val="4"/>
                <w:color w:val="auto"/>
              </w:rPr>
            </w:pPr>
          </w:p>
        </w:tc>
        <w:tc>
          <w:tcPr>
            <w:tcW w:w="288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480" w:type="dxa"/>
            <w:vAlign w:val="bottom"/>
            <w:tcBorders>
              <w:top w:val="single" w:sz="8" w:color="0000FF"/>
            </w:tcBorders>
          </w:tcPr>
          <w:p>
            <w:pPr>
              <w:spacing w:after="0"/>
              <w:rPr>
                <w:sz w:val="4"/>
                <w:szCs w:val="4"/>
                <w:color w:val="auto"/>
              </w:rPr>
            </w:pPr>
          </w:p>
        </w:tc>
        <w:tc>
          <w:tcPr>
            <w:tcW w:w="378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shd w:val="clear" w:color="auto" w:fill="E4E4E4"/>
          </w:tcPr>
          <w:p>
            <w:pPr>
              <w:jc w:val="right"/>
              <w:ind w:right="259"/>
              <w:spacing w:after="0"/>
              <w:rPr>
                <w:sz w:val="20"/>
                <w:szCs w:val="20"/>
                <w:color w:val="auto"/>
              </w:rPr>
            </w:pPr>
            <w:r>
              <w:rPr>
                <w:rFonts w:ascii="Arial" w:cs="Arial" w:eastAsia="Arial" w:hAnsi="Arial"/>
                <w:sz w:val="16"/>
                <w:szCs w:val="16"/>
                <w:color w:val="auto"/>
              </w:rPr>
              <w:t>32.1</w:t>
            </w:r>
          </w:p>
        </w:tc>
        <w:tc>
          <w:tcPr>
            <w:tcW w:w="10200" w:type="dxa"/>
            <w:vAlign w:val="bottom"/>
            <w:gridSpan w:val="7"/>
            <w:shd w:val="clear" w:color="auto" w:fill="E4E4E4"/>
          </w:tcPr>
          <w:p>
            <w:pPr>
              <w:spacing w:after="0"/>
              <w:rPr>
                <w:sz w:val="20"/>
                <w:szCs w:val="20"/>
                <w:color w:val="auto"/>
              </w:rPr>
            </w:pPr>
            <w:r>
              <w:rPr>
                <w:rFonts w:ascii="Arial" w:cs="Arial" w:eastAsia="Arial" w:hAnsi="Arial"/>
                <w:sz w:val="16"/>
                <w:szCs w:val="16"/>
                <w:color w:val="0000FF"/>
              </w:rPr>
              <w:t>Certifications of the Registrant’s Chief Executive Officer and Chief Financial Officer pursuant to 18 U.S.C. 1350, as adopted pursuant to</w:t>
            </w:r>
          </w:p>
        </w:tc>
        <w:tc>
          <w:tcPr>
            <w:tcW w:w="0" w:type="dxa"/>
            <w:vAlign w:val="bottom"/>
          </w:tcPr>
          <w:p>
            <w:pPr>
              <w:spacing w:after="0"/>
              <w:rPr>
                <w:sz w:val="1"/>
                <w:szCs w:val="1"/>
                <w:color w:val="auto"/>
              </w:rPr>
            </w:pPr>
          </w:p>
        </w:tc>
      </w:tr>
      <w:tr>
        <w:trPr>
          <w:trHeight w:val="113"/>
        </w:trPr>
        <w:tc>
          <w:tcPr>
            <w:tcW w:w="980" w:type="dxa"/>
            <w:vAlign w:val="bottom"/>
            <w:tcBorders>
              <w:top w:val="single" w:sz="8" w:color="E4E4E4"/>
            </w:tcBorders>
            <w:vMerge w:val="continue"/>
            <w:shd w:val="clear" w:color="auto" w:fill="E4E4E4"/>
          </w:tcPr>
          <w:p>
            <w:pPr>
              <w:spacing w:after="0"/>
              <w:rPr>
                <w:sz w:val="9"/>
                <w:szCs w:val="9"/>
                <w:color w:val="auto"/>
              </w:rPr>
            </w:pPr>
          </w:p>
        </w:tc>
        <w:tc>
          <w:tcPr>
            <w:tcW w:w="9680" w:type="dxa"/>
            <w:vAlign w:val="bottom"/>
            <w:tcBorders>
              <w:top w:val="single" w:sz="8" w:color="0000FF"/>
            </w:tcBorders>
            <w:gridSpan w:val="4"/>
            <w:vMerge w:val="restart"/>
            <w:shd w:val="clear" w:color="auto" w:fill="E4E4E4"/>
          </w:tcPr>
          <w:p>
            <w:pPr>
              <w:spacing w:after="0" w:line="183" w:lineRule="exact"/>
              <w:rPr>
                <w:sz w:val="20"/>
                <w:szCs w:val="20"/>
                <w:color w:val="auto"/>
              </w:rPr>
            </w:pPr>
            <w:r>
              <w:rPr>
                <w:rFonts w:ascii="Arial" w:cs="Arial" w:eastAsia="Arial" w:hAnsi="Arial"/>
                <w:sz w:val="16"/>
                <w:szCs w:val="16"/>
                <w:color w:val="0000FF"/>
              </w:rPr>
              <w:t>Section 906 of the Sarbanes-Oxley Act of 2002.</w:t>
            </w:r>
          </w:p>
        </w:tc>
        <w:tc>
          <w:tcPr>
            <w:tcW w:w="520" w:type="dxa"/>
            <w:vAlign w:val="bottom"/>
            <w:tcBorders>
              <w:top w:val="single" w:sz="8" w:color="E4E4E4"/>
            </w:tcBorders>
            <w:gridSpan w:val="3"/>
            <w:vMerge w:val="restart"/>
            <w:shd w:val="clear" w:color="auto" w:fill="E4E4E4"/>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80" w:type="dxa"/>
            <w:vAlign w:val="bottom"/>
            <w:shd w:val="clear" w:color="auto" w:fill="E4E4E4"/>
          </w:tcPr>
          <w:p>
            <w:pPr>
              <w:spacing w:after="0"/>
              <w:rPr>
                <w:sz w:val="6"/>
                <w:szCs w:val="6"/>
                <w:color w:val="auto"/>
              </w:rPr>
            </w:pPr>
          </w:p>
        </w:tc>
        <w:tc>
          <w:tcPr>
            <w:tcW w:w="9680" w:type="dxa"/>
            <w:vAlign w:val="bottom"/>
            <w:gridSpan w:val="4"/>
            <w:vMerge w:val="continue"/>
            <w:shd w:val="clear" w:color="auto" w:fill="E4E4E4"/>
          </w:tcPr>
          <w:p>
            <w:pPr>
              <w:spacing w:after="0"/>
              <w:rPr>
                <w:sz w:val="6"/>
                <w:szCs w:val="6"/>
                <w:color w:val="auto"/>
              </w:rPr>
            </w:pPr>
          </w:p>
        </w:tc>
        <w:tc>
          <w:tcPr>
            <w:tcW w:w="520" w:type="dxa"/>
            <w:vAlign w:val="bottom"/>
            <w:gridSpan w:val="3"/>
            <w:vMerge w:val="continue"/>
            <w:shd w:val="clear" w:color="auto" w:fill="E4E4E4"/>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980" w:type="dxa"/>
            <w:vAlign w:val="bottom"/>
            <w:tcBorders>
              <w:top w:val="single" w:sz="8" w:color="E4E4E4"/>
            </w:tcBorders>
            <w:shd w:val="clear" w:color="auto" w:fill="E4E4E4"/>
          </w:tcPr>
          <w:p>
            <w:pPr>
              <w:spacing w:after="0"/>
              <w:rPr>
                <w:sz w:val="4"/>
                <w:szCs w:val="4"/>
                <w:color w:val="auto"/>
              </w:rPr>
            </w:pPr>
          </w:p>
        </w:tc>
        <w:tc>
          <w:tcPr>
            <w:tcW w:w="2880" w:type="dxa"/>
            <w:vAlign w:val="bottom"/>
            <w:tcBorders>
              <w:top w:val="single" w:sz="8" w:color="0000FF"/>
            </w:tcBorders>
            <w:shd w:val="clear" w:color="auto" w:fill="E4E4E4"/>
          </w:tcPr>
          <w:p>
            <w:pPr>
              <w:spacing w:after="0"/>
              <w:rPr>
                <w:sz w:val="4"/>
                <w:szCs w:val="4"/>
                <w:color w:val="auto"/>
              </w:rPr>
            </w:pPr>
          </w:p>
        </w:tc>
        <w:tc>
          <w:tcPr>
            <w:tcW w:w="540" w:type="dxa"/>
            <w:vAlign w:val="bottom"/>
            <w:tcBorders>
              <w:top w:val="single" w:sz="8" w:color="0000FF"/>
            </w:tcBorders>
            <w:shd w:val="clear" w:color="auto" w:fill="E4E4E4"/>
          </w:tcPr>
          <w:p>
            <w:pPr>
              <w:spacing w:after="0"/>
              <w:rPr>
                <w:sz w:val="4"/>
                <w:szCs w:val="4"/>
                <w:color w:val="auto"/>
              </w:rPr>
            </w:pPr>
          </w:p>
        </w:tc>
        <w:tc>
          <w:tcPr>
            <w:tcW w:w="2480" w:type="dxa"/>
            <w:vAlign w:val="bottom"/>
            <w:tcBorders>
              <w:top w:val="single" w:sz="8" w:color="E4E4E4"/>
            </w:tcBorders>
            <w:shd w:val="clear" w:color="auto" w:fill="E4E4E4"/>
          </w:tcPr>
          <w:p>
            <w:pPr>
              <w:spacing w:after="0"/>
              <w:rPr>
                <w:sz w:val="4"/>
                <w:szCs w:val="4"/>
                <w:color w:val="auto"/>
              </w:rPr>
            </w:pPr>
          </w:p>
        </w:tc>
        <w:tc>
          <w:tcPr>
            <w:tcW w:w="3780" w:type="dxa"/>
            <w:vAlign w:val="bottom"/>
            <w:tcBorders>
              <w:top w:val="single" w:sz="8" w:color="E4E4E4"/>
            </w:tcBorders>
            <w:shd w:val="clear" w:color="auto" w:fill="E4E4E4"/>
          </w:tcPr>
          <w:p>
            <w:pPr>
              <w:spacing w:after="0"/>
              <w:rPr>
                <w:sz w:val="4"/>
                <w:szCs w:val="4"/>
                <w:color w:val="auto"/>
              </w:rPr>
            </w:pPr>
          </w:p>
        </w:tc>
        <w:tc>
          <w:tcPr>
            <w:tcW w:w="40" w:type="dxa"/>
            <w:vAlign w:val="bottom"/>
            <w:tcBorders>
              <w:top w:val="single" w:sz="8" w:color="E4E4E4"/>
            </w:tcBorders>
            <w:shd w:val="clear" w:color="auto" w:fill="E4E4E4"/>
          </w:tcPr>
          <w:p>
            <w:pPr>
              <w:spacing w:after="0"/>
              <w:rPr>
                <w:sz w:val="4"/>
                <w:szCs w:val="4"/>
                <w:color w:val="auto"/>
              </w:rPr>
            </w:pPr>
          </w:p>
        </w:tc>
        <w:tc>
          <w:tcPr>
            <w:tcW w:w="380" w:type="dxa"/>
            <w:vAlign w:val="bottom"/>
            <w:tcBorders>
              <w:top w:val="single" w:sz="8" w:color="E4E4E4"/>
            </w:tcBorders>
            <w:shd w:val="clear" w:color="auto" w:fill="E4E4E4"/>
          </w:tcPr>
          <w:p>
            <w:pPr>
              <w:spacing w:after="0"/>
              <w:rPr>
                <w:sz w:val="4"/>
                <w:szCs w:val="4"/>
                <w:color w:val="auto"/>
              </w:rPr>
            </w:pPr>
          </w:p>
        </w:tc>
        <w:tc>
          <w:tcPr>
            <w:tcW w:w="100" w:type="dxa"/>
            <w:vAlign w:val="bottom"/>
            <w:tcBorders>
              <w:top w:val="single" w:sz="8" w:color="E4E4E4"/>
            </w:tcBorders>
            <w:shd w:val="clear" w:color="auto" w:fill="E4E4E4"/>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980" w:type="dxa"/>
            <w:vAlign w:val="bottom"/>
            <w:vMerge w:val="restart"/>
          </w:tcPr>
          <w:p>
            <w:pPr>
              <w:jc w:val="right"/>
              <w:ind w:right="259"/>
              <w:spacing w:after="0"/>
              <w:rPr>
                <w:sz w:val="20"/>
                <w:szCs w:val="20"/>
                <w:color w:val="auto"/>
              </w:rPr>
            </w:pPr>
            <w:r>
              <w:rPr>
                <w:rFonts w:ascii="Arial" w:cs="Arial" w:eastAsia="Arial" w:hAnsi="Arial"/>
                <w:sz w:val="16"/>
                <w:szCs w:val="16"/>
                <w:color w:val="auto"/>
              </w:rPr>
              <w:t>97.1</w:t>
            </w:r>
          </w:p>
        </w:tc>
        <w:tc>
          <w:tcPr>
            <w:tcW w:w="10200" w:type="dxa"/>
            <w:vAlign w:val="bottom"/>
            <w:gridSpan w:val="7"/>
          </w:tcPr>
          <w:p>
            <w:pPr>
              <w:spacing w:after="0"/>
              <w:rPr>
                <w:rFonts w:ascii="Arial" w:cs="Arial" w:eastAsia="Arial" w:hAnsi="Arial"/>
                <w:sz w:val="16"/>
                <w:szCs w:val="16"/>
                <w:color w:val="0000FF"/>
              </w:rPr>
            </w:pPr>
            <w:hyperlink r:id="rId201">
              <w:r>
                <w:rPr>
                  <w:rFonts w:ascii="Arial" w:cs="Arial" w:eastAsia="Arial" w:hAnsi="Arial"/>
                  <w:sz w:val="16"/>
                  <w:szCs w:val="16"/>
                  <w:color w:val="0000FF"/>
                </w:rPr>
                <w:t>GE HealthCare Technologies Inc. Clawback Policy (incorporated by reference to Exhibit 97.1 to the Registrant’s Annual Report on Form 10-K</w:t>
              </w:r>
            </w:hyperlink>
          </w:p>
        </w:tc>
        <w:tc>
          <w:tcPr>
            <w:tcW w:w="0" w:type="dxa"/>
            <w:vAlign w:val="bottom"/>
          </w:tcPr>
          <w:p>
            <w:pPr>
              <w:spacing w:after="0"/>
              <w:rPr>
                <w:sz w:val="1"/>
                <w:szCs w:val="1"/>
                <w:color w:val="auto"/>
              </w:rPr>
            </w:pPr>
          </w:p>
        </w:tc>
      </w:tr>
      <w:tr>
        <w:trPr>
          <w:trHeight w:val="113"/>
        </w:trPr>
        <w:tc>
          <w:tcPr>
            <w:tcW w:w="980" w:type="dxa"/>
            <w:vAlign w:val="bottom"/>
            <w:vMerge w:val="continue"/>
          </w:tcPr>
          <w:p>
            <w:pPr>
              <w:spacing w:after="0"/>
              <w:rPr>
                <w:sz w:val="9"/>
                <w:szCs w:val="9"/>
                <w:color w:val="auto"/>
              </w:rPr>
            </w:pPr>
          </w:p>
        </w:tc>
        <w:tc>
          <w:tcPr>
            <w:tcW w:w="10100" w:type="dxa"/>
            <w:vAlign w:val="bottom"/>
            <w:tcBorders>
              <w:top w:val="single" w:sz="8" w:color="0000FF"/>
            </w:tcBorders>
            <w:gridSpan w:val="6"/>
            <w:vMerge w:val="restart"/>
          </w:tcPr>
          <w:p>
            <w:pPr>
              <w:spacing w:after="0" w:line="183" w:lineRule="exact"/>
              <w:rPr>
                <w:rFonts w:ascii="Arial" w:cs="Arial" w:eastAsia="Arial" w:hAnsi="Arial"/>
                <w:sz w:val="16"/>
                <w:szCs w:val="16"/>
                <w:color w:val="0000FF"/>
              </w:rPr>
            </w:pPr>
            <w:hyperlink r:id="rId201">
              <w:r>
                <w:rPr>
                  <w:rFonts w:ascii="Arial" w:cs="Arial" w:eastAsia="Arial" w:hAnsi="Arial"/>
                  <w:sz w:val="16"/>
                  <w:szCs w:val="16"/>
                  <w:color w:val="0000FF"/>
                </w:rPr>
                <w:t>filed with the SEC on February 6, 2024).</w:t>
              </w:r>
            </w:hyperlink>
          </w:p>
        </w:tc>
        <w:tc>
          <w:tcPr>
            <w:tcW w:w="10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980" w:type="dxa"/>
            <w:vAlign w:val="bottom"/>
          </w:tcPr>
          <w:p>
            <w:pPr>
              <w:spacing w:after="0"/>
              <w:rPr>
                <w:sz w:val="6"/>
                <w:szCs w:val="6"/>
                <w:color w:val="auto"/>
              </w:rPr>
            </w:pPr>
          </w:p>
        </w:tc>
        <w:tc>
          <w:tcPr>
            <w:tcW w:w="10100" w:type="dxa"/>
            <w:vAlign w:val="bottom"/>
            <w:gridSpan w:val="6"/>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34290</wp:posOffset>
            </wp:positionV>
            <wp:extent cx="7098030" cy="8058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2">
                      <a:extLst>
                        <a:ext uri="{28A0092B-C50C-407E-A947-70E740481C1C}"/>
                      </a:extLst>
                    </a:blip>
                    <a:srcRect/>
                    <a:stretch>
                      <a:fillRect/>
                    </a:stretch>
                  </pic:blipFill>
                  <pic:spPr bwMode="auto">
                    <a:xfrm>
                      <a:off x="0" y="0"/>
                      <a:ext cx="7098030" cy="805815"/>
                    </a:xfrm>
                    <a:prstGeom prst="rect">
                      <a:avLst/>
                    </a:prstGeom>
                    <a:noFill/>
                  </pic:spPr>
                </pic:pic>
              </a:graphicData>
            </a:graphic>
          </wp:anchor>
        </w:drawing>
      </w:r>
    </w:p>
    <w:p>
      <w:pPr>
        <w:spacing w:after="0" w:line="47" w:lineRule="exact"/>
        <w:rPr>
          <w:sz w:val="20"/>
          <w:szCs w:val="20"/>
          <w:color w:val="auto"/>
        </w:rPr>
      </w:pPr>
    </w:p>
    <w:p>
      <w:pPr>
        <w:ind w:left="1020" w:right="100"/>
        <w:spacing w:after="0" w:line="272" w:lineRule="auto"/>
        <w:rPr>
          <w:sz w:val="20"/>
          <w:szCs w:val="20"/>
          <w:color w:val="auto"/>
        </w:rPr>
      </w:pPr>
      <w:r>
        <w:rPr>
          <w:rFonts w:ascii="Arial" w:cs="Arial" w:eastAsia="Arial" w:hAnsi="Arial"/>
          <w:sz w:val="16"/>
          <w:szCs w:val="16"/>
          <w:color w:val="auto"/>
        </w:rPr>
        <w:t>The following materials from GE HealthCare Technologies Inc.’s Annual Report on Form 10-K for the fiscal year ended December 31, 2025, formatted inline XBRL (eXtensible Business Reporting Language): (1) Consolidated Statements of Income for the years ended December 31,</w:t>
      </w:r>
    </w:p>
    <w:p>
      <w:pPr>
        <w:ind w:left="1020" w:hanging="634"/>
        <w:spacing w:after="0" w:line="183" w:lineRule="auto"/>
        <w:tabs>
          <w:tab w:leader="none" w:pos="1020" w:val="left"/>
        </w:tabs>
        <w:numPr>
          <w:ilvl w:val="0"/>
          <w:numId w:val="57"/>
        </w:numPr>
        <w:rPr>
          <w:rFonts w:ascii="Arial" w:cs="Arial" w:eastAsia="Arial" w:hAnsi="Arial"/>
          <w:sz w:val="23"/>
          <w:szCs w:val="23"/>
          <w:color w:val="auto"/>
          <w:vertAlign w:val="subscript"/>
        </w:rPr>
      </w:pPr>
      <w:r>
        <w:rPr>
          <w:rFonts w:ascii="Arial" w:cs="Arial" w:eastAsia="Arial" w:hAnsi="Arial"/>
          <w:sz w:val="13"/>
          <w:szCs w:val="13"/>
          <w:color w:val="auto"/>
        </w:rPr>
        <w:t>2025, 2024, and 2023; (2) Consolidated Statements of Comprehensive Income (Loss) for years ended December 31, 2025, 2024, and 2023;</w:t>
      </w:r>
    </w:p>
    <w:p>
      <w:pPr>
        <w:spacing w:after="0" w:line="4" w:lineRule="exact"/>
        <w:rPr>
          <w:rFonts w:ascii="Arial" w:cs="Arial" w:eastAsia="Arial" w:hAnsi="Arial"/>
          <w:sz w:val="23"/>
          <w:szCs w:val="23"/>
          <w:color w:val="auto"/>
          <w:vertAlign w:val="subscript"/>
        </w:rPr>
      </w:pPr>
    </w:p>
    <w:p>
      <w:pPr>
        <w:jc w:val="both"/>
        <w:ind w:left="1020" w:right="140"/>
        <w:spacing w:after="0" w:line="273" w:lineRule="auto"/>
        <w:rPr>
          <w:rFonts w:ascii="Arial" w:cs="Arial" w:eastAsia="Arial" w:hAnsi="Arial"/>
          <w:sz w:val="23"/>
          <w:szCs w:val="23"/>
          <w:color w:val="auto"/>
          <w:vertAlign w:val="subscript"/>
        </w:rPr>
      </w:pPr>
      <w:r>
        <w:rPr>
          <w:rFonts w:ascii="Arial" w:cs="Arial" w:eastAsia="Arial" w:hAnsi="Arial"/>
          <w:sz w:val="16"/>
          <w:szCs w:val="16"/>
          <w:color w:val="auto"/>
        </w:rPr>
        <w:t>(3) Consolidated Statements of Financial Position as of December 31, 2025 and 2024; (4) Consolidated Statements of Changes in Equity for the years ended December 31, 2025, 2024, and 2023; (5) Consolidated Statements of Cash Flows for the years ended December 31, 2025, 2024, and 2023; and (6) Notes to the Consolidated Financial Statements.</w:t>
      </w:r>
    </w:p>
    <w:p>
      <w:pPr>
        <w:spacing w:after="0" w:line="18" w:lineRule="exact"/>
        <w:rPr>
          <w:sz w:val="20"/>
          <w:szCs w:val="20"/>
          <w:color w:val="auto"/>
        </w:rPr>
      </w:pPr>
    </w:p>
    <w:p>
      <w:pPr>
        <w:ind w:left="380"/>
        <w:spacing w:after="0"/>
        <w:tabs>
          <w:tab w:leader="none" w:pos="100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Inline XBRL).</w:t>
      </w:r>
    </w:p>
    <w:p>
      <w:pPr>
        <w:spacing w:after="0" w:line="73" w:lineRule="exact"/>
        <w:rPr>
          <w:sz w:val="20"/>
          <w:szCs w:val="20"/>
          <w:color w:val="auto"/>
        </w:rPr>
      </w:pPr>
    </w:p>
    <w:p>
      <w:pPr>
        <w:ind w:left="1020" w:right="60" w:hanging="544"/>
        <w:spacing w:after="0" w:line="181" w:lineRule="auto"/>
        <w:tabs>
          <w:tab w:leader="none" w:pos="1020" w:val="left"/>
        </w:tabs>
        <w:numPr>
          <w:ilvl w:val="0"/>
          <w:numId w:val="58"/>
        </w:numPr>
        <w:rPr>
          <w:rFonts w:ascii="Arial" w:cs="Arial" w:eastAsia="Arial" w:hAnsi="Arial"/>
          <w:sz w:val="32"/>
          <w:szCs w:val="32"/>
          <w:color w:val="auto"/>
          <w:vertAlign w:val="subscript"/>
        </w:rPr>
      </w:pPr>
      <w:r>
        <w:rPr>
          <w:rFonts w:ascii="Arial" w:cs="Arial" w:eastAsia="Arial" w:hAnsi="Arial"/>
          <w:sz w:val="16"/>
          <w:szCs w:val="16"/>
          <w:color w:val="auto"/>
        </w:rPr>
        <w:t>Certain portions of this exhibit have been redacted pursuant to Item 601(b)(2)(ii) and Item 601(b)(10)(iv) of Regulation S-K, as applicable. The Company agrees to furnish supplementally an unredacted copy of the exhibit to the Securities and Exchange Commission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-271780</wp:posOffset>
            </wp:positionV>
            <wp:extent cx="7098030" cy="3003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3">
                      <a:extLst>
                        <a:ext uri="{28A0092B-C50C-407E-A947-70E740481C1C}"/>
                      </a:extLst>
                    </a:blip>
                    <a:srcRect/>
                    <a:stretch>
                      <a:fillRect/>
                    </a:stretch>
                  </pic:blipFill>
                  <pic:spPr bwMode="auto">
                    <a:xfrm>
                      <a:off x="0" y="0"/>
                      <a:ext cx="7098030" cy="300355"/>
                    </a:xfrm>
                    <a:prstGeom prst="rect">
                      <a:avLst/>
                    </a:prstGeom>
                    <a:noFill/>
                  </pic:spPr>
                </pic:pic>
              </a:graphicData>
            </a:graphic>
          </wp:anchor>
        </w:drawing>
      </w:r>
    </w:p>
    <w:p>
      <w:pPr>
        <w:spacing w:after="0" w:line="36" w:lineRule="exact"/>
        <w:rPr>
          <w:sz w:val="20"/>
          <w:szCs w:val="20"/>
          <w:color w:val="auto"/>
        </w:rPr>
      </w:pPr>
    </w:p>
    <w:p>
      <w:pPr>
        <w:ind w:left="1020" w:hanging="530"/>
        <w:spacing w:after="0"/>
        <w:tabs>
          <w:tab w:leader="none" w:pos="10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30"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Registrants may voluntarily include a summary of information required by Form 10-K under this Item 16. The Company has elected to not include such summary information.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4"/>
          <w:szCs w:val="14"/>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30"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GE HealthCare Technologies Inc.</w:t>
            </w:r>
          </w:p>
        </w:tc>
      </w:tr>
      <w:tr>
        <w:trPr>
          <w:trHeight w:val="29"/>
        </w:trPr>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75"/>
        </w:trPr>
        <w:tc>
          <w:tcPr>
            <w:tcW w:w="1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700" w:type="dxa"/>
            <w:vAlign w:val="bottom"/>
          </w:tcPr>
          <w:p>
            <w:pPr>
              <w:ind w:left="20"/>
              <w:spacing w:after="0"/>
              <w:rPr>
                <w:sz w:val="20"/>
                <w:szCs w:val="20"/>
                <w:color w:val="auto"/>
              </w:rPr>
            </w:pPr>
            <w:r>
              <w:rPr>
                <w:rFonts w:ascii="Arial" w:cs="Arial" w:eastAsia="Arial" w:hAnsi="Arial"/>
                <w:sz w:val="16"/>
                <w:szCs w:val="16"/>
                <w:color w:val="auto"/>
              </w:rPr>
              <w:t>(Registrant)</w:t>
            </w:r>
          </w:p>
        </w:tc>
      </w:tr>
      <w:tr>
        <w:trPr>
          <w:trHeight w:val="513"/>
        </w:trPr>
        <w:tc>
          <w:tcPr>
            <w:tcW w:w="2040" w:type="dxa"/>
            <w:vAlign w:val="bottom"/>
            <w:gridSpan w:val="2"/>
          </w:tcPr>
          <w:p>
            <w:pPr>
              <w:jc w:val="center"/>
              <w:ind w:right="80"/>
              <w:spacing w:after="0"/>
              <w:rPr>
                <w:sz w:val="20"/>
                <w:szCs w:val="20"/>
                <w:color w:val="auto"/>
              </w:rPr>
            </w:pPr>
            <w:r>
              <w:rPr>
                <w:rFonts w:ascii="Arial" w:cs="Arial" w:eastAsia="Arial" w:hAnsi="Arial"/>
                <w:sz w:val="16"/>
                <w:szCs w:val="16"/>
                <w:color w:val="auto"/>
              </w:rPr>
              <w:t>February 4, 2026</w:t>
            </w:r>
          </w:p>
        </w:tc>
        <w:tc>
          <w:tcPr>
            <w:tcW w:w="7700" w:type="dxa"/>
            <w:vAlign w:val="bottom"/>
          </w:tcPr>
          <w:p>
            <w:pPr>
              <w:ind w:left="20"/>
              <w:spacing w:after="0"/>
              <w:rPr>
                <w:sz w:val="20"/>
                <w:szCs w:val="20"/>
                <w:color w:val="auto"/>
              </w:rPr>
            </w:pPr>
            <w:r>
              <w:rPr>
                <w:rFonts w:ascii="Arial" w:cs="Arial" w:eastAsia="Arial" w:hAnsi="Arial"/>
                <w:sz w:val="16"/>
                <w:szCs w:val="16"/>
                <w:color w:val="auto"/>
              </w:rPr>
              <w:t>/s/ James K. Saccaro</w:t>
            </w:r>
          </w:p>
        </w:tc>
      </w:tr>
      <w:tr>
        <w:trPr>
          <w:trHeight w:val="29"/>
        </w:trPr>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700" w:type="dxa"/>
            <w:vAlign w:val="bottom"/>
            <w:tcBorders>
              <w:bottom w:val="single" w:sz="8" w:color="auto"/>
            </w:tcBorders>
          </w:tcPr>
          <w:p>
            <w:pPr>
              <w:spacing w:after="0"/>
              <w:rPr>
                <w:sz w:val="2"/>
                <w:szCs w:val="2"/>
                <w:color w:val="auto"/>
              </w:rPr>
            </w:pPr>
          </w:p>
        </w:tc>
      </w:tr>
      <w:tr>
        <w:trPr>
          <w:trHeight w:val="221"/>
        </w:trPr>
        <w:tc>
          <w:tcPr>
            <w:tcW w:w="2040" w:type="dxa"/>
            <w:vAlign w:val="bottom"/>
            <w:gridSpan w:val="2"/>
          </w:tcPr>
          <w:p>
            <w:pPr>
              <w:jc w:val="center"/>
              <w:ind w:right="100"/>
              <w:spacing w:after="0"/>
              <w:rPr>
                <w:sz w:val="20"/>
                <w:szCs w:val="20"/>
                <w:color w:val="auto"/>
              </w:rPr>
            </w:pPr>
            <w:r>
              <w:rPr>
                <w:rFonts w:ascii="Arial" w:cs="Arial" w:eastAsia="Arial" w:hAnsi="Arial"/>
                <w:sz w:val="16"/>
                <w:szCs w:val="16"/>
                <w:color w:val="auto"/>
              </w:rPr>
              <w:t>Date</w:t>
            </w:r>
          </w:p>
        </w:tc>
        <w:tc>
          <w:tcPr>
            <w:tcW w:w="7700" w:type="dxa"/>
            <w:vAlign w:val="bottom"/>
          </w:tcPr>
          <w:p>
            <w:pPr>
              <w:ind w:left="20"/>
              <w:spacing w:after="0"/>
              <w:rPr>
                <w:sz w:val="20"/>
                <w:szCs w:val="20"/>
                <w:color w:val="auto"/>
              </w:rPr>
            </w:pPr>
            <w:r>
              <w:rPr>
                <w:rFonts w:ascii="Arial" w:cs="Arial" w:eastAsia="Arial" w:hAnsi="Arial"/>
                <w:sz w:val="16"/>
                <w:szCs w:val="16"/>
                <w:color w:val="auto"/>
              </w:rPr>
              <w:t>James K. Saccaro, Vice President &amp; Chief Financial Officer (Principal Financial Officer)</w:t>
            </w:r>
          </w:p>
        </w:tc>
      </w:tr>
    </w:tbl>
    <w:p>
      <w:pPr>
        <w:spacing w:after="0" w:line="200" w:lineRule="exact"/>
        <w:rPr>
          <w:sz w:val="20"/>
          <w:szCs w:val="20"/>
          <w:color w:val="auto"/>
        </w:rPr>
      </w:pPr>
    </w:p>
    <w:p>
      <w:pPr>
        <w:spacing w:after="0" w:line="395"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indicated on February 4, 2026.</w:t>
      </w:r>
    </w:p>
    <w:p>
      <w:pPr>
        <w:sectPr>
          <w:pgSz w:w="11900" w:h="16838" w:orient="portrait"/>
          <w:cols w:equalWidth="0" w:num="1">
            <w:col w:w="11180"/>
          </w:cols>
          <w:pgMar w:left="320" w:top="130" w:right="399" w:bottom="1440" w:gutter="0" w:footer="0" w:header="0"/>
        </w:sectPr>
      </w:pPr>
    </w:p>
    <w:p>
      <w:pPr>
        <w:spacing w:after="0" w:line="23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21729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5">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spacing w:after="0" w:line="66" w:lineRule="exact"/>
        <w:rPr>
          <w:sz w:val="20"/>
          <w:szCs w:val="20"/>
          <w:color w:val="auto"/>
        </w:rPr>
      </w:pPr>
    </w:p>
    <w:p>
      <w:pPr>
        <w:jc w:val="center"/>
        <w:ind w:left="6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536638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6">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Peter J. Arduini, President &amp; Chief Executive Officer and Director (Principal Executive Officer)</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7">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James K. Saccaro, Vice President &amp; Chief Financial Officer (Principal Financial Officer)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George A. Newcomb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8">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George A. Newcomb, Chief Accounting Officer (Principal Accounting Officer)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H. Lawrence Culp,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9">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H. Lawrence Culp, Jr., Chairman of the Board of Directors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Rodney F. Hochman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0">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Rodney F. Hochman,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Risa Lavizzo-Mourey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1">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Risa Lavizzo-Mourey,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Catherine Lesjak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2">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Catherine Lesjak,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Anne T.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3">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Anne T. Madden,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Tomislav Mihaljevic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4">
                      <a:extLst>
                        <a:ext uri="{28A0092B-C50C-407E-A947-70E740481C1C}"/>
                      </a:extLst>
                    </a:blip>
                    <a:srcRect/>
                    <a:stretch>
                      <a:fillRect/>
                    </a:stretch>
                  </pic:blipFill>
                  <pic:spPr bwMode="auto">
                    <a:xfrm>
                      <a:off x="0" y="0"/>
                      <a:ext cx="536638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Tomislav Mihaljevic,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William J. Stromberg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5">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William J. Stromberg, Director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/s/ Phoebe L.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29210</wp:posOffset>
            </wp:positionV>
            <wp:extent cx="536638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6">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Phoebe L. Yang, Director</w:t>
      </w:r>
    </w:p>
    <w:p>
      <w:pPr>
        <w:spacing w:after="0" w:line="200" w:lineRule="exact"/>
        <w:rPr>
          <w:sz w:val="20"/>
          <w:szCs w:val="20"/>
          <w:color w:val="auto"/>
        </w:rPr>
      </w:pPr>
    </w:p>
    <w:p>
      <w:pPr>
        <w:sectPr>
          <w:pgSz w:w="11900" w:h="16838" w:orient="portrait"/>
          <w:cols w:equalWidth="0" w:num="2">
            <w:col w:w="1340" w:space="720"/>
            <w:col w:w="9120"/>
          </w:cols>
          <w:pgMar w:left="320" w:top="13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107</w:t>
      </w:r>
    </w:p>
    <w:p>
      <w:pPr>
        <w:sectPr>
          <w:pgSz w:w="11900" w:h="16838" w:orient="portrait"/>
          <w:cols w:equalWidth="0" w:num="1">
            <w:col w:w="11180"/>
          </w:cols>
          <w:pgMar w:left="320" w:top="130" w:right="399" w:bottom="1440" w:gutter="0" w:footer="0" w:header="0"/>
          <w:type w:val="continuous"/>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GE HEALTHCARE TECHNOLOGIES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SECURITIES TRADING POLICY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as of June 24, 2025</w:t>
      </w:r>
    </w:p>
    <w:p>
      <w:pPr>
        <w:spacing w:after="0" w:line="204" w:lineRule="exact"/>
        <w:rPr>
          <w:sz w:val="20"/>
          <w:szCs w:val="20"/>
          <w:color w:val="auto"/>
        </w:rPr>
      </w:pPr>
    </w:p>
    <w:p>
      <w:pPr>
        <w:ind w:left="640" w:hanging="632"/>
        <w:spacing w:after="0"/>
        <w:tabs>
          <w:tab w:leader="none" w:pos="640"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color w:val="auto"/>
        </w:rPr>
        <w:t>Purpose</w:t>
      </w:r>
    </w:p>
    <w:p>
      <w:pPr>
        <w:spacing w:after="0" w:line="218" w:lineRule="exact"/>
        <w:rPr>
          <w:sz w:val="20"/>
          <w:szCs w:val="20"/>
          <w:color w:val="auto"/>
        </w:rPr>
      </w:pPr>
    </w:p>
    <w:p>
      <w:pPr>
        <w:ind w:right="720" w:firstLine="648"/>
        <w:spacing w:after="0" w:line="277" w:lineRule="auto"/>
        <w:rPr>
          <w:sz w:val="20"/>
          <w:szCs w:val="20"/>
          <w:color w:val="auto"/>
        </w:rPr>
      </w:pPr>
      <w:r>
        <w:rPr>
          <w:rFonts w:ascii="Arial" w:cs="Arial" w:eastAsia="Arial" w:hAnsi="Arial"/>
          <w:sz w:val="21"/>
          <w:szCs w:val="21"/>
          <w:color w:val="auto"/>
        </w:rPr>
        <w:t>To describe the standards concerning the handling of non-public information relating to GE HealthCare Technologies Inc. and its subsidiaries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buying, selling, and other trading of securities of the Company.</w:t>
      </w:r>
    </w:p>
    <w:p>
      <w:pPr>
        <w:spacing w:after="0" w:line="176"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color w:val="auto"/>
        </w:rPr>
        <w:t>Persons Affected and Prohibited Transactions</w:t>
      </w:r>
    </w:p>
    <w:p>
      <w:pPr>
        <w:spacing w:after="0" w:line="245" w:lineRule="exact"/>
        <w:rPr>
          <w:sz w:val="20"/>
          <w:szCs w:val="20"/>
          <w:color w:val="auto"/>
        </w:rPr>
      </w:pPr>
    </w:p>
    <w:p>
      <w:pPr>
        <w:ind w:right="300" w:firstLine="648"/>
        <w:spacing w:after="0" w:line="276" w:lineRule="auto"/>
        <w:rPr>
          <w:sz w:val="20"/>
          <w:szCs w:val="20"/>
          <w:color w:val="auto"/>
        </w:rPr>
      </w:pPr>
      <w:r>
        <w:rPr>
          <w:rFonts w:ascii="Arial" w:cs="Arial" w:eastAsia="Arial" w:hAnsi="Arial"/>
          <w:sz w:val="20"/>
          <w:szCs w:val="20"/>
          <w:color w:val="auto"/>
        </w:rPr>
        <w:t>This Policy applies to all directors, executive officers</w:t>
      </w:r>
      <w:r>
        <w:rPr>
          <w:rFonts w:ascii="Arial" w:cs="Arial" w:eastAsia="Arial" w:hAnsi="Arial"/>
          <w:sz w:val="25"/>
          <w:szCs w:val="25"/>
          <w:color w:val="auto"/>
          <w:vertAlign w:val="superscript"/>
        </w:rPr>
        <w:t>1</w:t>
      </w:r>
      <w:r>
        <w:rPr>
          <w:rFonts w:ascii="Arial" w:cs="Arial" w:eastAsia="Arial" w:hAnsi="Arial"/>
          <w:sz w:val="20"/>
          <w:szCs w:val="20"/>
          <w:color w:val="auto"/>
        </w:rPr>
        <w:t>, and all other employees of the Company. This Policy also applies to others, such as contractors or consultants who have access to material nonpublic information, whom the Company has notified (together with directors, executive officers, and all other employees, “</w:t>
      </w:r>
      <w:r>
        <w:rPr>
          <w:rFonts w:ascii="Arial" w:cs="Arial" w:eastAsia="Arial" w:hAnsi="Arial"/>
          <w:sz w:val="20"/>
          <w:szCs w:val="20"/>
          <w:u w:val="single" w:color="auto"/>
          <w:color w:val="auto"/>
        </w:rPr>
        <w:t>Company Personnel</w:t>
      </w:r>
      <w:r>
        <w:rPr>
          <w:rFonts w:ascii="Arial" w:cs="Arial" w:eastAsia="Arial" w:hAnsi="Arial"/>
          <w:sz w:val="20"/>
          <w:szCs w:val="20"/>
          <w:color w:val="auto"/>
        </w:rPr>
        <w:t>”). The restrictions set forth in Part V (blackout periods) and Part VI (pre-clearance) apply only to the persons specified in those sections. If you are unsure whether you are subject to the restrictions set forth in Parts V or VI, please contact the Company’s General Counsel or the Chief Securities and Governance Counsel (or their designees).</w:t>
      </w:r>
    </w:p>
    <w:p>
      <w:pPr>
        <w:spacing w:after="0" w:line="183" w:lineRule="exact"/>
        <w:rPr>
          <w:sz w:val="20"/>
          <w:szCs w:val="20"/>
          <w:color w:val="auto"/>
        </w:rPr>
      </w:pPr>
    </w:p>
    <w:p>
      <w:pPr>
        <w:ind w:right="160" w:firstLine="648"/>
        <w:spacing w:after="0" w:line="280" w:lineRule="auto"/>
        <w:rPr>
          <w:sz w:val="20"/>
          <w:szCs w:val="20"/>
          <w:color w:val="auto"/>
        </w:rPr>
      </w:pPr>
      <w:r>
        <w:rPr>
          <w:rFonts w:ascii="Arial" w:cs="Arial" w:eastAsia="Arial" w:hAnsi="Arial"/>
          <w:sz w:val="20"/>
          <w:szCs w:val="20"/>
          <w:color w:val="auto"/>
        </w:rPr>
        <w:t>This Policy also applies to your spouse, minor children, anyone else living in your household, and any family member who does not live in your household but whose transactions in Company securities are subject to your influence or control (collectively, “</w:t>
      </w:r>
      <w:r>
        <w:rPr>
          <w:rFonts w:ascii="Arial" w:cs="Arial" w:eastAsia="Arial" w:hAnsi="Arial"/>
          <w:sz w:val="20"/>
          <w:szCs w:val="20"/>
          <w:u w:val="single" w:color="auto"/>
          <w:color w:val="auto"/>
        </w:rPr>
        <w:t>Family Members</w:t>
      </w:r>
      <w:r>
        <w:rPr>
          <w:rFonts w:ascii="Arial" w:cs="Arial" w:eastAsia="Arial" w:hAnsi="Arial"/>
          <w:sz w:val="20"/>
          <w:szCs w:val="20"/>
          <w:color w:val="auto"/>
        </w:rPr>
        <w:t>”), and partnerships in which you are a general partner, trusts of which you are a trustee, estates of which you are an executor, investment funds or other similar vehicles with which you are affiliated if there is no information wall in place between you and the members of the fund, and any other entities controlled, influenced, or managed by you and your Family Members (collectively with Family Members, “</w:t>
      </w:r>
      <w:r>
        <w:rPr>
          <w:rFonts w:ascii="Arial" w:cs="Arial" w:eastAsia="Arial" w:hAnsi="Arial"/>
          <w:sz w:val="20"/>
          <w:szCs w:val="20"/>
          <w:u w:val="single" w:color="auto"/>
          <w:color w:val="auto"/>
        </w:rPr>
        <w:t>Related Parties</w:t>
      </w:r>
      <w:r>
        <w:rPr>
          <w:rFonts w:ascii="Arial" w:cs="Arial" w:eastAsia="Arial" w:hAnsi="Arial"/>
          <w:sz w:val="20"/>
          <w:szCs w:val="20"/>
          <w:color w:val="auto"/>
        </w:rPr>
        <w:t>”). For the avoidance of doubt, all restrictions under this Policy that are applicable to you are also applicable to your Related Parties.</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You are responsible for compliance with this Policy by your Related Parties.</w:t>
      </w:r>
    </w:p>
    <w:p>
      <w:pPr>
        <w:spacing w:after="0" w:line="241" w:lineRule="exact"/>
        <w:rPr>
          <w:sz w:val="20"/>
          <w:szCs w:val="20"/>
          <w:color w:val="auto"/>
        </w:rPr>
      </w:pPr>
    </w:p>
    <w:p>
      <w:pPr>
        <w:ind w:right="600" w:firstLine="648"/>
        <w:spacing w:after="0" w:line="278" w:lineRule="auto"/>
        <w:rPr>
          <w:sz w:val="20"/>
          <w:szCs w:val="20"/>
          <w:color w:val="auto"/>
        </w:rPr>
      </w:pPr>
      <w:r>
        <w:rPr>
          <w:rFonts w:ascii="Arial" w:cs="Arial" w:eastAsia="Arial" w:hAnsi="Arial"/>
          <w:sz w:val="21"/>
          <w:szCs w:val="21"/>
          <w:color w:val="auto"/>
        </w:rPr>
        <w:t>For purposes of this Policy, references to “trading” or to “transactions in securities of the Company” include purchases or sales of Company stock, bonds, options, puts and calls; derivative securities based on securities of the Company; gifts of Company securities; loans of Company securities; hedging transactions involving or referencing Company securities; contributions of Company securities to a trust; sales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2631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7">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52" w:lineRule="exact"/>
        <w:rPr>
          <w:sz w:val="20"/>
          <w:szCs w:val="20"/>
          <w:color w:val="auto"/>
        </w:rPr>
      </w:pPr>
    </w:p>
    <w:p>
      <w:pPr>
        <w:ind w:left="340" w:right="20" w:hanging="332"/>
        <w:spacing w:after="0" w:line="238" w:lineRule="auto"/>
        <w:tabs>
          <w:tab w:leader="none" w:pos="394" w:val="left"/>
        </w:tabs>
        <w:numPr>
          <w:ilvl w:val="0"/>
          <w:numId w:val="62"/>
        </w:numPr>
        <w:rPr>
          <w:rFonts w:ascii="Arial" w:cs="Arial" w:eastAsia="Arial" w:hAnsi="Arial"/>
          <w:sz w:val="28"/>
          <w:szCs w:val="28"/>
          <w:color w:val="auto"/>
          <w:vertAlign w:val="superscript"/>
        </w:rPr>
      </w:pPr>
      <w:r>
        <w:rPr>
          <w:rFonts w:ascii="Arial" w:cs="Arial" w:eastAsia="Arial" w:hAnsi="Arial"/>
          <w:sz w:val="21"/>
          <w:szCs w:val="21"/>
          <w:color w:val="auto"/>
        </w:rPr>
        <w:t>The term “executive officers” for purposes of this Policy means all persons meeting the definition of “officer” in Rule 16a-1(f) under the Securities Exchange Act of 1934, as amended (the “</w:t>
      </w:r>
      <w:r>
        <w:rPr>
          <w:rFonts w:ascii="Arial" w:cs="Arial" w:eastAsia="Arial" w:hAnsi="Arial"/>
          <w:sz w:val="21"/>
          <w:szCs w:val="21"/>
          <w:u w:val="single" w:color="auto"/>
          <w:color w:val="auto"/>
        </w:rPr>
        <w:t>Exchange Act</w:t>
      </w:r>
      <w:r>
        <w:rPr>
          <w:rFonts w:ascii="Arial" w:cs="Arial" w:eastAsia="Arial" w:hAnsi="Arial"/>
          <w:sz w:val="21"/>
          <w:szCs w:val="21"/>
          <w:color w:val="auto"/>
        </w:rPr>
        <w:t>”) and any other executive officers of the Company identified in its public filings with the U.S. Securities and Exchange Commission (the “</w:t>
      </w:r>
      <w:r>
        <w:rPr>
          <w:rFonts w:ascii="Arial" w:cs="Arial" w:eastAsia="Arial" w:hAnsi="Arial"/>
          <w:sz w:val="21"/>
          <w:szCs w:val="21"/>
          <w:u w:val="single" w:color="auto"/>
          <w:color w:val="auto"/>
        </w:rPr>
        <w:t>SEC</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ectPr>
          <w:pgSz w:w="11900" w:h="16838" w:orient="portrait"/>
          <w:cols w:equalWidth="0" w:num="1">
            <w:col w:w="11240"/>
          </w:cols>
          <w:pgMar w:left="320" w:top="121" w:right="339" w:bottom="1440" w:gutter="0" w:footer="0" w:header="0"/>
        </w:sectPr>
      </w:pPr>
    </w:p>
    <w:bookmarkStart w:id="109" w:name="page110"/>
    <w:bookmarkEnd w:id="109"/>
    <w:p>
      <w:pPr>
        <w:ind w:right="40"/>
        <w:spacing w:after="0" w:line="270" w:lineRule="auto"/>
        <w:rPr>
          <w:sz w:val="20"/>
          <w:szCs w:val="20"/>
          <w:color w:val="auto"/>
        </w:rPr>
      </w:pPr>
      <w:r>
        <w:rPr>
          <w:rFonts w:ascii="Arial" w:cs="Arial" w:eastAsia="Arial" w:hAnsi="Arial"/>
          <w:sz w:val="21"/>
          <w:szCs w:val="21"/>
          <w:color w:val="auto"/>
        </w:rPr>
        <w:t>stock acquired upon the exercise of stock options; broker-assisted cashless exercises of stock options; market sales to raise cash to fund the exercise of stock options; and trades in Company stock made under an employee benefit plan, such as a 401(k) plan. Conversely, references to “trading” or to “transactions in securities of the Company” do not include the exercise of stock options if no shares are to be sold or if there is a net exercise; the vesting of stock options, restricted stock, or restricted stock units; the withholding of shares to satisfy a tax withholding obligation upon the vesting of restricted stock or restricted stock units; transferring shares to an entity that does not involve a change in the beneficial ownership of the shares; sales of securities as a selling stockholder in a registered public offering in accordance with applicable securities laws; or any other purchase of securities from the issuer or sales of securities to the issuer in accordance with applicable securities and state laws.</w:t>
      </w:r>
    </w:p>
    <w:p>
      <w:pPr>
        <w:spacing w:after="0" w:line="160" w:lineRule="exact"/>
        <w:rPr>
          <w:sz w:val="20"/>
          <w:szCs w:val="20"/>
          <w:color w:val="auto"/>
        </w:rPr>
      </w:pPr>
    </w:p>
    <w:p>
      <w:pPr>
        <w:ind w:left="620" w:hanging="612"/>
        <w:spacing w:after="0"/>
        <w:tabs>
          <w:tab w:leader="none" w:pos="620" w:val="left"/>
        </w:tabs>
        <w:numPr>
          <w:ilvl w:val="0"/>
          <w:numId w:val="63"/>
        </w:numPr>
        <w:rPr>
          <w:rFonts w:ascii="Arial" w:cs="Arial" w:eastAsia="Arial" w:hAnsi="Arial"/>
          <w:sz w:val="21"/>
          <w:szCs w:val="21"/>
          <w:b w:val="1"/>
          <w:bCs w:val="1"/>
          <w:color w:val="auto"/>
        </w:rPr>
      </w:pPr>
      <w:r>
        <w:rPr>
          <w:rFonts w:ascii="Arial" w:cs="Arial" w:eastAsia="Arial" w:hAnsi="Arial"/>
          <w:sz w:val="21"/>
          <w:szCs w:val="21"/>
          <w:b w:val="1"/>
          <w:bCs w:val="1"/>
          <w:color w:val="auto"/>
        </w:rPr>
        <w:t>Policy Statement</w:t>
      </w:r>
    </w:p>
    <w:p>
      <w:pPr>
        <w:spacing w:after="0" w:line="204" w:lineRule="exact"/>
        <w:rPr>
          <w:sz w:val="20"/>
          <w:szCs w:val="20"/>
          <w:color w:val="auto"/>
        </w:rPr>
      </w:pPr>
    </w:p>
    <w:p>
      <w:pPr>
        <w:ind w:right="700" w:firstLine="648"/>
        <w:spacing w:after="0" w:line="283" w:lineRule="auto"/>
        <w:rPr>
          <w:sz w:val="20"/>
          <w:szCs w:val="20"/>
          <w:color w:val="auto"/>
        </w:rPr>
      </w:pPr>
      <w:r>
        <w:rPr>
          <w:rFonts w:ascii="Arial" w:cs="Arial" w:eastAsia="Arial" w:hAnsi="Arial"/>
          <w:sz w:val="21"/>
          <w:szCs w:val="21"/>
          <w:b w:val="1"/>
          <w:bCs w:val="1"/>
          <w:color w:val="auto"/>
        </w:rPr>
        <w:t>If you possess material nonpublic information (as further discussed below) relating to the Company, neither you nor any of your Related Parties may:</w:t>
      </w:r>
    </w:p>
    <w:p>
      <w:pPr>
        <w:spacing w:after="0" w:line="133" w:lineRule="exact"/>
        <w:rPr>
          <w:sz w:val="20"/>
          <w:szCs w:val="20"/>
          <w:color w:val="auto"/>
        </w:rPr>
      </w:pPr>
    </w:p>
    <w:p>
      <w:pPr>
        <w:ind w:left="980" w:hanging="324"/>
        <w:spacing w:after="0" w:line="268" w:lineRule="auto"/>
        <w:tabs>
          <w:tab w:leader="none" w:pos="971" w:val="left"/>
        </w:tabs>
        <w:numPr>
          <w:ilvl w:val="0"/>
          <w:numId w:val="64"/>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effect transactions in securities of the Company (other than pursuant to a pre-arranged trading plan that complies with Rule 10b5-1 under the Exchange Act (“</w:t>
      </w:r>
      <w:r>
        <w:rPr>
          <w:rFonts w:ascii="Arial" w:cs="Arial" w:eastAsia="Arial" w:hAnsi="Arial"/>
          <w:sz w:val="21"/>
          <w:szCs w:val="21"/>
          <w:b w:val="1"/>
          <w:bCs w:val="1"/>
          <w:u w:val="single" w:color="auto"/>
          <w:color w:val="auto"/>
        </w:rPr>
        <w:t>Rule 10b5-1</w:t>
      </w:r>
      <w:r>
        <w:rPr>
          <w:rFonts w:ascii="Arial" w:cs="Arial" w:eastAsia="Arial" w:hAnsi="Arial"/>
          <w:sz w:val="21"/>
          <w:szCs w:val="21"/>
          <w:b w:val="1"/>
          <w:bCs w:val="1"/>
          <w:color w:val="auto"/>
        </w:rPr>
        <w:t>”) as described in Part VII below) or engage in any other action that takes advantage of that information;</w:t>
      </w:r>
    </w:p>
    <w:p>
      <w:pPr>
        <w:spacing w:after="0" w:line="162" w:lineRule="exact"/>
        <w:rPr>
          <w:rFonts w:ascii="Times New Roman" w:cs="Times New Roman" w:eastAsia="Times New Roman" w:hAnsi="Times New Roman"/>
          <w:sz w:val="21"/>
          <w:szCs w:val="21"/>
          <w:color w:val="auto"/>
        </w:rPr>
      </w:pPr>
    </w:p>
    <w:p>
      <w:pPr>
        <w:ind w:left="980" w:right="520" w:hanging="324"/>
        <w:spacing w:after="0" w:line="282" w:lineRule="auto"/>
        <w:tabs>
          <w:tab w:leader="none" w:pos="971" w:val="left"/>
        </w:tabs>
        <w:numPr>
          <w:ilvl w:val="0"/>
          <w:numId w:val="64"/>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pass that information on to any person outside the Company, except as permitted under applicable Company policies and procedures;</w:t>
      </w:r>
    </w:p>
    <w:p>
      <w:pPr>
        <w:spacing w:after="0" w:line="133" w:lineRule="exact"/>
        <w:rPr>
          <w:rFonts w:ascii="Times New Roman" w:cs="Times New Roman" w:eastAsia="Times New Roman" w:hAnsi="Times New Roman"/>
          <w:sz w:val="21"/>
          <w:szCs w:val="21"/>
          <w:color w:val="auto"/>
        </w:rPr>
      </w:pPr>
    </w:p>
    <w:p>
      <w:pPr>
        <w:ind w:left="980" w:right="240" w:hanging="324"/>
        <w:spacing w:after="0" w:line="295" w:lineRule="auto"/>
        <w:tabs>
          <w:tab w:leader="none" w:pos="971" w:val="left"/>
        </w:tabs>
        <w:numPr>
          <w:ilvl w:val="0"/>
          <w:numId w:val="64"/>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suggest or otherwise recommend that any person effect a transaction in securities of the Company or engage in any other action that takes advantage of that information; or</w:t>
      </w:r>
    </w:p>
    <w:p>
      <w:pPr>
        <w:spacing w:after="0" w:line="120"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4"/>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assist anyone engaged in any of the foregoing activities.</w:t>
      </w:r>
    </w:p>
    <w:p>
      <w:pPr>
        <w:spacing w:after="0" w:line="230" w:lineRule="exact"/>
        <w:rPr>
          <w:sz w:val="20"/>
          <w:szCs w:val="20"/>
          <w:color w:val="auto"/>
        </w:rPr>
      </w:pPr>
    </w:p>
    <w:p>
      <w:pPr>
        <w:ind w:right="300" w:firstLine="648"/>
        <w:spacing w:after="0" w:line="257" w:lineRule="auto"/>
        <w:rPr>
          <w:sz w:val="20"/>
          <w:szCs w:val="20"/>
          <w:color w:val="auto"/>
        </w:rPr>
      </w:pPr>
      <w:r>
        <w:rPr>
          <w:rFonts w:ascii="Arial" w:cs="Arial" w:eastAsia="Arial" w:hAnsi="Arial"/>
          <w:sz w:val="21"/>
          <w:szCs w:val="21"/>
          <w:color w:val="auto"/>
        </w:rPr>
        <w:t>This Policy will continue to apply after termination of employment to the extent that you are in possession of material nonpublic information at the time of termination. In such case, no transaction in securities of the Company may take place until the information becomes public or ceases to be material.</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This Policy also applies to information obtained in the course of employment with, or by serving as a director of, the</w:t>
      </w:r>
    </w:p>
    <w:p>
      <w:pPr>
        <w:spacing w:after="0" w:line="33" w:lineRule="exact"/>
        <w:rPr>
          <w:sz w:val="20"/>
          <w:szCs w:val="20"/>
          <w:color w:val="auto"/>
        </w:rPr>
      </w:pPr>
    </w:p>
    <w:p>
      <w:pPr>
        <w:spacing w:after="0"/>
        <w:rPr>
          <w:sz w:val="20"/>
          <w:szCs w:val="20"/>
          <w:color w:val="auto"/>
        </w:rPr>
      </w:pPr>
      <w:r>
        <w:rPr>
          <w:rFonts w:ascii="Arial" w:cs="Arial" w:eastAsia="Arial" w:hAnsi="Arial"/>
          <w:sz w:val="21"/>
          <w:szCs w:val="21"/>
          <w:color w:val="auto"/>
        </w:rPr>
        <w:t>Company relating to any company that has a preexisting or prospective relationship with the Company, including:</w:t>
      </w:r>
    </w:p>
    <w:p>
      <w:pPr>
        <w:spacing w:after="0" w:line="198" w:lineRule="exact"/>
        <w:rPr>
          <w:sz w:val="20"/>
          <w:szCs w:val="20"/>
          <w:color w:val="auto"/>
        </w:rPr>
      </w:pPr>
    </w:p>
    <w:p>
      <w:pPr>
        <w:ind w:left="980" w:hanging="324"/>
        <w:spacing w:after="0"/>
        <w:tabs>
          <w:tab w:leader="none" w:pos="980" w:val="left"/>
        </w:tabs>
        <w:numPr>
          <w:ilvl w:val="0"/>
          <w:numId w:val="65"/>
        </w:numPr>
        <w:rPr>
          <w:rFonts w:ascii="Times New Roman" w:cs="Times New Roman" w:eastAsia="Times New Roman" w:hAnsi="Times New Roman"/>
          <w:sz w:val="21"/>
          <w:szCs w:val="21"/>
          <w:color w:val="auto"/>
        </w:rPr>
      </w:pPr>
      <w:r>
        <w:rPr>
          <w:rFonts w:ascii="Arial" w:cs="Arial" w:eastAsia="Arial" w:hAnsi="Arial"/>
          <w:sz w:val="21"/>
          <w:szCs w:val="21"/>
          <w:color w:val="auto"/>
        </w:rPr>
        <w:t>our customers or suppliers,</w:t>
      </w:r>
    </w:p>
    <w:p>
      <w:pPr>
        <w:spacing w:after="0" w:line="230"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5"/>
        </w:numPr>
        <w:rPr>
          <w:rFonts w:ascii="Times New Roman" w:cs="Times New Roman" w:eastAsia="Times New Roman" w:hAnsi="Times New Roman"/>
          <w:sz w:val="21"/>
          <w:szCs w:val="21"/>
          <w:color w:val="auto"/>
        </w:rPr>
      </w:pPr>
      <w:r>
        <w:rPr>
          <w:rFonts w:ascii="Arial" w:cs="Arial" w:eastAsia="Arial" w:hAnsi="Arial"/>
          <w:sz w:val="21"/>
          <w:szCs w:val="21"/>
          <w:color w:val="auto"/>
        </w:rPr>
        <w:t>any entity with which we may be negotiating a major transaction or business combination,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2</w:t>
      </w:r>
    </w:p>
    <w:p>
      <w:pPr>
        <w:sectPr>
          <w:pgSz w:w="11900" w:h="16838" w:orient="portrait"/>
          <w:cols w:equalWidth="0" w:num="1">
            <w:col w:w="11220"/>
          </w:cols>
          <w:pgMar w:left="320" w:top="1431" w:right="359" w:bottom="1440" w:gutter="0" w:footer="0" w:header="0"/>
        </w:sectPr>
      </w:pPr>
    </w:p>
    <w:bookmarkStart w:id="110" w:name="page111"/>
    <w:bookmarkEnd w:id="110"/>
    <w:p>
      <w:pPr>
        <w:ind w:left="980" w:hanging="324"/>
        <w:spacing w:after="0"/>
        <w:tabs>
          <w:tab w:leader="none" w:pos="980" w:val="left"/>
        </w:tabs>
        <w:numPr>
          <w:ilvl w:val="0"/>
          <w:numId w:val="66"/>
        </w:numPr>
        <w:rPr>
          <w:rFonts w:ascii="Times New Roman" w:cs="Times New Roman" w:eastAsia="Times New Roman" w:hAnsi="Times New Roman"/>
          <w:sz w:val="21"/>
          <w:szCs w:val="21"/>
          <w:color w:val="auto"/>
        </w:rPr>
      </w:pPr>
      <w:r>
        <w:rPr>
          <w:rFonts w:ascii="Arial" w:cs="Arial" w:eastAsia="Arial" w:hAnsi="Arial"/>
          <w:sz w:val="21"/>
          <w:szCs w:val="21"/>
          <w:color w:val="auto"/>
        </w:rPr>
        <w:t>any entity as to which we have an indirect or direct control relationship or a designee on the board of directors.</w:t>
      </w:r>
    </w:p>
    <w:p>
      <w:pPr>
        <w:spacing w:after="0" w:line="230" w:lineRule="exact"/>
        <w:rPr>
          <w:sz w:val="20"/>
          <w:szCs w:val="20"/>
          <w:color w:val="auto"/>
        </w:rPr>
      </w:pPr>
    </w:p>
    <w:p>
      <w:pPr>
        <w:ind w:right="100" w:firstLine="230"/>
        <w:spacing w:after="0" w:line="274" w:lineRule="auto"/>
        <w:rPr>
          <w:sz w:val="20"/>
          <w:szCs w:val="20"/>
          <w:color w:val="auto"/>
        </w:rPr>
      </w:pPr>
      <w:r>
        <w:rPr>
          <w:rFonts w:ascii="Arial" w:cs="Arial" w:eastAsia="Arial" w:hAnsi="Arial"/>
          <w:sz w:val="21"/>
          <w:szCs w:val="21"/>
          <w:color w:val="auto"/>
        </w:rPr>
        <w:t>Neither you nor any of your Related Parties may effect transactions in the securities of any such company while in possession of material nonpublic information concerning that company obtained in the course of employment with, or by serving as a director of, the Company. You should also be aware that insider trading may include situations where, among other things, the individual trades in the securities of other companies that are economically-linked to the Company (</w:t>
      </w:r>
      <w:r>
        <w:rPr>
          <w:rFonts w:ascii="Arial" w:cs="Arial" w:eastAsia="Arial" w:hAnsi="Arial"/>
          <w:sz w:val="21"/>
          <w:szCs w:val="21"/>
          <w:i w:val="1"/>
          <w:iCs w:val="1"/>
          <w:color w:val="auto"/>
        </w:rPr>
        <w:t>e.g.,</w:t>
      </w:r>
      <w:r>
        <w:rPr>
          <w:rFonts w:ascii="Arial" w:cs="Arial" w:eastAsia="Arial" w:hAnsi="Arial"/>
          <w:sz w:val="21"/>
          <w:szCs w:val="21"/>
          <w:color w:val="auto"/>
        </w:rPr>
        <w:t xml:space="preserve"> competitors) based on material nonpublic information concerning the Company or its securities obtained in the course of employment with, or by serving as a director of, the Company.</w:t>
      </w:r>
    </w:p>
    <w:p>
      <w:pPr>
        <w:spacing w:after="0" w:line="182" w:lineRule="exact"/>
        <w:rPr>
          <w:sz w:val="20"/>
          <w:szCs w:val="20"/>
          <w:color w:val="auto"/>
        </w:rPr>
      </w:pPr>
    </w:p>
    <w:p>
      <w:pPr>
        <w:ind w:right="120" w:firstLine="648"/>
        <w:spacing w:after="0" w:line="299" w:lineRule="auto"/>
        <w:rPr>
          <w:sz w:val="20"/>
          <w:szCs w:val="20"/>
          <w:color w:val="auto"/>
        </w:rPr>
      </w:pPr>
      <w:r>
        <w:rPr>
          <w:rFonts w:ascii="Arial" w:cs="Arial" w:eastAsia="Arial" w:hAnsi="Arial"/>
          <w:sz w:val="21"/>
          <w:szCs w:val="21"/>
          <w:color w:val="auto"/>
        </w:rPr>
        <w:t>Transactions that may be necessary or justifiable for independent reasons (such as the need to raise money for an emergency expenditure) or very small transactions are no exception.</w:t>
      </w:r>
    </w:p>
    <w:p>
      <w:pPr>
        <w:spacing w:after="0" w:line="15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i w:val="1"/>
          <w:iCs w:val="1"/>
          <w:color w:val="auto"/>
        </w:rPr>
        <w:t>Material Information</w:t>
      </w:r>
      <w:r>
        <w:rPr>
          <w:rFonts w:ascii="Arial" w:cs="Arial" w:eastAsia="Arial" w:hAnsi="Arial"/>
          <w:sz w:val="21"/>
          <w:szCs w:val="21"/>
          <w:color w:val="auto"/>
        </w:rPr>
        <w:t>. Information is “</w:t>
      </w:r>
      <w:r>
        <w:rPr>
          <w:rFonts w:ascii="Arial" w:cs="Arial" w:eastAsia="Arial" w:hAnsi="Arial"/>
          <w:sz w:val="21"/>
          <w:szCs w:val="21"/>
          <w:u w:val="single" w:color="auto"/>
          <w:color w:val="auto"/>
        </w:rPr>
        <w:t>material</w:t>
      </w:r>
      <w:r>
        <w:rPr>
          <w:rFonts w:ascii="Arial" w:cs="Arial" w:eastAsia="Arial" w:hAnsi="Arial"/>
          <w:sz w:val="21"/>
          <w:szCs w:val="21"/>
          <w:color w:val="auto"/>
        </w:rPr>
        <w:t>” if there is a substantial likelihood that a reasonable investor would</w:t>
      </w:r>
      <w:r>
        <w:rPr>
          <w:rFonts w:ascii="Arial" w:cs="Arial" w:eastAsia="Arial" w:hAnsi="Arial"/>
          <w:sz w:val="21"/>
          <w:szCs w:val="21"/>
          <w:i w:val="1"/>
          <w:iCs w:val="1"/>
          <w:color w:val="auto"/>
        </w:rPr>
        <w:t xml:space="preserve"> </w:t>
      </w:r>
      <w:r>
        <w:rPr>
          <w:rFonts w:ascii="Arial" w:cs="Arial" w:eastAsia="Arial" w:hAnsi="Arial"/>
          <w:sz w:val="21"/>
          <w:szCs w:val="21"/>
          <w:color w:val="auto"/>
        </w:rPr>
        <w:t>view it as significantly altering the total mix of available information or would consider it important in making an investment decision. Materiality with respect to contingent or speculative events depends upon a balancing of the probability that the event will occur and the magnitude of the anticipated impact on the Company’s business, operations, and financial condition. Thus, information concerning an event that would have a large effect on stock price, such as a merger, might be material even if the possibility that the event will occur is relatively small.</w:t>
      </w:r>
    </w:p>
    <w:p>
      <w:pPr>
        <w:spacing w:after="0" w:line="18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Although a materiality judgment depends on a weighing of both quantitative and qualitative factors in light of all the circumstances, certain types of information carry a greater likelihood of being deemed material than others. Higher risk categories include information concerning:</w:t>
      </w:r>
    </w:p>
    <w:p>
      <w:pPr>
        <w:spacing w:after="0" w:line="155" w:lineRule="exact"/>
        <w:rPr>
          <w:sz w:val="20"/>
          <w:szCs w:val="20"/>
          <w:color w:val="auto"/>
        </w:rPr>
      </w:pPr>
    </w:p>
    <w:p>
      <w:pPr>
        <w:ind w:left="980" w:hanging="324"/>
        <w:spacing w:after="0"/>
        <w:tabs>
          <w:tab w:leader="none" w:pos="980" w:val="left"/>
        </w:tabs>
        <w:numPr>
          <w:ilvl w:val="0"/>
          <w:numId w:val="67"/>
        </w:numPr>
        <w:rPr>
          <w:rFonts w:ascii="Times New Roman" w:cs="Times New Roman" w:eastAsia="Times New Roman" w:hAnsi="Times New Roman"/>
          <w:sz w:val="21"/>
          <w:szCs w:val="21"/>
          <w:color w:val="auto"/>
        </w:rPr>
      </w:pPr>
      <w:r>
        <w:rPr>
          <w:rFonts w:ascii="Arial" w:cs="Arial" w:eastAsia="Arial" w:hAnsi="Arial"/>
          <w:sz w:val="21"/>
          <w:szCs w:val="21"/>
          <w:color w:val="auto"/>
        </w:rPr>
        <w:t>Revenues, earnings, margins, cash flows, and other financial results and forecasts,</w:t>
      </w:r>
    </w:p>
    <w:p>
      <w:pPr>
        <w:spacing w:after="0" w:line="21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7"/>
        </w:numPr>
        <w:rPr>
          <w:rFonts w:ascii="Times New Roman" w:cs="Times New Roman" w:eastAsia="Times New Roman" w:hAnsi="Times New Roman"/>
          <w:sz w:val="21"/>
          <w:szCs w:val="21"/>
          <w:color w:val="auto"/>
        </w:rPr>
      </w:pPr>
      <w:r>
        <w:rPr>
          <w:rFonts w:ascii="Arial" w:cs="Arial" w:eastAsia="Arial" w:hAnsi="Arial"/>
          <w:sz w:val="21"/>
          <w:szCs w:val="21"/>
          <w:color w:val="auto"/>
        </w:rPr>
        <w:t>Liquidity, capital, and leverage metrics and targets,</w:t>
      </w:r>
    </w:p>
    <w:p>
      <w:pPr>
        <w:spacing w:after="0" w:line="230"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7"/>
        </w:numPr>
        <w:rPr>
          <w:rFonts w:ascii="Times New Roman" w:cs="Times New Roman" w:eastAsia="Times New Roman" w:hAnsi="Times New Roman"/>
          <w:sz w:val="21"/>
          <w:szCs w:val="21"/>
          <w:color w:val="auto"/>
        </w:rPr>
      </w:pPr>
      <w:r>
        <w:rPr>
          <w:rFonts w:ascii="Arial" w:cs="Arial" w:eastAsia="Arial" w:hAnsi="Arial"/>
          <w:sz w:val="21"/>
          <w:szCs w:val="21"/>
          <w:color w:val="auto"/>
        </w:rPr>
        <w:t>Significant acquisitions, dispositions, or other transactions,</w:t>
      </w:r>
    </w:p>
    <w:p>
      <w:pPr>
        <w:spacing w:after="0" w:line="21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7"/>
        </w:numPr>
        <w:rPr>
          <w:rFonts w:ascii="Times New Roman" w:cs="Times New Roman" w:eastAsia="Times New Roman" w:hAnsi="Times New Roman"/>
          <w:sz w:val="21"/>
          <w:szCs w:val="21"/>
          <w:color w:val="auto"/>
        </w:rPr>
      </w:pPr>
      <w:r>
        <w:rPr>
          <w:rFonts w:ascii="Arial" w:cs="Arial" w:eastAsia="Arial" w:hAnsi="Arial"/>
          <w:sz w:val="21"/>
          <w:szCs w:val="21"/>
          <w:color w:val="auto"/>
        </w:rPr>
        <w:t>Reorganizations, impairments, charges, or restatements to historic financial results,</w:t>
      </w:r>
    </w:p>
    <w:p>
      <w:pPr>
        <w:spacing w:after="0" w:line="230"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7"/>
        </w:numPr>
        <w:rPr>
          <w:rFonts w:ascii="Times New Roman" w:cs="Times New Roman" w:eastAsia="Times New Roman" w:hAnsi="Times New Roman"/>
          <w:sz w:val="21"/>
          <w:szCs w:val="21"/>
          <w:color w:val="auto"/>
        </w:rPr>
      </w:pPr>
      <w:r>
        <w:rPr>
          <w:rFonts w:ascii="Arial" w:cs="Arial" w:eastAsia="Arial" w:hAnsi="Arial"/>
          <w:sz w:val="21"/>
          <w:szCs w:val="21"/>
          <w:color w:val="auto"/>
        </w:rPr>
        <w:t>Changes in credit ratings,</w:t>
      </w:r>
    </w:p>
    <w:p>
      <w:pPr>
        <w:spacing w:after="0" w:line="216" w:lineRule="exact"/>
        <w:rPr>
          <w:rFonts w:ascii="Times New Roman" w:cs="Times New Roman" w:eastAsia="Times New Roman" w:hAnsi="Times New Roman"/>
          <w:sz w:val="21"/>
          <w:szCs w:val="21"/>
          <w:color w:val="auto"/>
        </w:rPr>
      </w:pPr>
    </w:p>
    <w:p>
      <w:pPr>
        <w:ind w:left="980" w:right="440" w:hanging="324"/>
        <w:spacing w:after="0" w:line="272" w:lineRule="auto"/>
        <w:tabs>
          <w:tab w:leader="none" w:pos="971" w:val="left"/>
        </w:tabs>
        <w:numPr>
          <w:ilvl w:val="0"/>
          <w:numId w:val="67"/>
        </w:numPr>
        <w:rPr>
          <w:rFonts w:ascii="Times New Roman" w:cs="Times New Roman" w:eastAsia="Times New Roman" w:hAnsi="Times New Roman"/>
          <w:sz w:val="21"/>
          <w:szCs w:val="21"/>
          <w:color w:val="auto"/>
        </w:rPr>
      </w:pPr>
      <w:r>
        <w:rPr>
          <w:rFonts w:ascii="Arial" w:cs="Arial" w:eastAsia="Arial" w:hAnsi="Arial"/>
          <w:sz w:val="21"/>
          <w:szCs w:val="21"/>
          <w:color w:val="auto"/>
        </w:rPr>
        <w:t>Dividend policies, the declaration of a stock split, or the proposed or contemplated issuance, redemption, or repurchase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1240"/>
          </w:cols>
          <w:pgMar w:left="320" w:top="1417" w:right="339" w:bottom="1440" w:gutter="0" w:footer="0" w:header="0"/>
        </w:sectPr>
      </w:pPr>
    </w:p>
    <w:bookmarkStart w:id="111" w:name="page112"/>
    <w:bookmarkEnd w:id="111"/>
    <w:p>
      <w:pPr>
        <w:ind w:left="980" w:hanging="324"/>
        <w:spacing w:after="0"/>
        <w:tabs>
          <w:tab w:leader="none" w:pos="980"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color w:val="auto"/>
        </w:rPr>
        <w:t>Changes in senior leadership or the board of directors, or involving the Company’s stockholders,</w:t>
      </w:r>
    </w:p>
    <w:p>
      <w:pPr>
        <w:spacing w:after="0" w:line="21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color w:val="auto"/>
        </w:rPr>
        <w:t>Significant lawsuits, claims, or investigations,</w:t>
      </w:r>
    </w:p>
    <w:p>
      <w:pPr>
        <w:spacing w:after="0" w:line="230"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color w:val="auto"/>
        </w:rPr>
        <w:t>Significant cybersecurity-related events,</w:t>
      </w:r>
    </w:p>
    <w:p>
      <w:pPr>
        <w:spacing w:after="0" w:line="21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color w:val="auto"/>
        </w:rPr>
        <w:t>Tax rates, and</w:t>
      </w:r>
    </w:p>
    <w:p>
      <w:pPr>
        <w:spacing w:after="0" w:line="230"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8"/>
        </w:numPr>
        <w:rPr>
          <w:rFonts w:ascii="Times New Roman" w:cs="Times New Roman" w:eastAsia="Times New Roman" w:hAnsi="Times New Roman"/>
          <w:sz w:val="21"/>
          <w:szCs w:val="21"/>
          <w:color w:val="auto"/>
        </w:rPr>
      </w:pPr>
      <w:r>
        <w:rPr>
          <w:rFonts w:ascii="Arial" w:cs="Arial" w:eastAsia="Arial" w:hAnsi="Arial"/>
          <w:sz w:val="21"/>
          <w:szCs w:val="21"/>
          <w:color w:val="auto"/>
        </w:rPr>
        <w:t>Audit matters.</w:t>
      </w:r>
    </w:p>
    <w:p>
      <w:pPr>
        <w:spacing w:after="0" w:line="230" w:lineRule="exact"/>
        <w:rPr>
          <w:sz w:val="20"/>
          <w:szCs w:val="20"/>
          <w:color w:val="auto"/>
        </w:rPr>
      </w:pPr>
    </w:p>
    <w:p>
      <w:pPr>
        <w:jc w:val="both"/>
        <w:ind w:right="380" w:firstLine="648"/>
        <w:spacing w:after="0" w:line="284" w:lineRule="auto"/>
        <w:rPr>
          <w:sz w:val="20"/>
          <w:szCs w:val="20"/>
          <w:color w:val="auto"/>
        </w:rPr>
      </w:pPr>
      <w:r>
        <w:rPr>
          <w:rFonts w:ascii="Arial" w:cs="Arial" w:eastAsia="Arial" w:hAnsi="Arial"/>
          <w:sz w:val="21"/>
          <w:szCs w:val="21"/>
          <w:i w:val="1"/>
          <w:iCs w:val="1"/>
          <w:color w:val="auto"/>
        </w:rPr>
        <w:t>20-20 Hindsight</w:t>
      </w:r>
      <w:r>
        <w:rPr>
          <w:rFonts w:ascii="Arial" w:cs="Arial" w:eastAsia="Arial" w:hAnsi="Arial"/>
          <w:sz w:val="21"/>
          <w:szCs w:val="21"/>
          <w:color w:val="auto"/>
        </w:rPr>
        <w:t>. Remember, if your transaction in Company securities becomes the subject of scrutiny, it will be</w:t>
      </w:r>
      <w:r>
        <w:rPr>
          <w:rFonts w:ascii="Arial" w:cs="Arial" w:eastAsia="Arial" w:hAnsi="Arial"/>
          <w:sz w:val="21"/>
          <w:szCs w:val="21"/>
          <w:i w:val="1"/>
          <w:iCs w:val="1"/>
          <w:color w:val="auto"/>
        </w:rPr>
        <w:t xml:space="preserve"> </w:t>
      </w:r>
      <w:r>
        <w:rPr>
          <w:rFonts w:ascii="Arial" w:cs="Arial" w:eastAsia="Arial" w:hAnsi="Arial"/>
          <w:sz w:val="21"/>
          <w:szCs w:val="21"/>
          <w:color w:val="auto"/>
        </w:rPr>
        <w:t>viewed after-the-fact with the benefit of hindsight. As a result, before engaging in any transaction, you should carefully consider how regulators and others might view your transaction in hindsight.</w:t>
      </w:r>
    </w:p>
    <w:p>
      <w:pPr>
        <w:spacing w:after="0" w:line="169" w:lineRule="exact"/>
        <w:rPr>
          <w:sz w:val="20"/>
          <w:szCs w:val="20"/>
          <w:color w:val="auto"/>
        </w:rPr>
      </w:pPr>
    </w:p>
    <w:p>
      <w:pPr>
        <w:ind w:right="320" w:firstLine="648"/>
        <w:spacing w:after="0" w:line="274" w:lineRule="auto"/>
        <w:rPr>
          <w:sz w:val="20"/>
          <w:szCs w:val="20"/>
          <w:color w:val="auto"/>
        </w:rPr>
      </w:pPr>
      <w:r>
        <w:rPr>
          <w:rFonts w:ascii="Arial" w:cs="Arial" w:eastAsia="Arial" w:hAnsi="Arial"/>
          <w:sz w:val="21"/>
          <w:szCs w:val="21"/>
          <w:i w:val="1"/>
          <w:iCs w:val="1"/>
          <w:color w:val="auto"/>
        </w:rPr>
        <w:t>Tipping Information to Others</w:t>
      </w:r>
      <w:r>
        <w:rPr>
          <w:rFonts w:ascii="Arial" w:cs="Arial" w:eastAsia="Arial" w:hAnsi="Arial"/>
          <w:sz w:val="21"/>
          <w:szCs w:val="21"/>
          <w:color w:val="auto"/>
        </w:rPr>
        <w:t>. Whether the information is proprietary information about the Company or other</w:t>
      </w:r>
      <w:r>
        <w:rPr>
          <w:rFonts w:ascii="Arial" w:cs="Arial" w:eastAsia="Arial" w:hAnsi="Arial"/>
          <w:sz w:val="21"/>
          <w:szCs w:val="21"/>
          <w:i w:val="1"/>
          <w:iCs w:val="1"/>
          <w:color w:val="auto"/>
        </w:rPr>
        <w:t xml:space="preserve"> </w:t>
      </w:r>
      <w:r>
        <w:rPr>
          <w:rFonts w:ascii="Arial" w:cs="Arial" w:eastAsia="Arial" w:hAnsi="Arial"/>
          <w:sz w:val="21"/>
          <w:szCs w:val="21"/>
          <w:color w:val="auto"/>
        </w:rPr>
        <w:t>information that could have an impact on the price of the Company’s securities, you must not pass the information on to others. Penalties will apply whether or not you derive, or even intend to derive, any profit or other benefit from another’s actions.</w:t>
      </w:r>
    </w:p>
    <w:p>
      <w:pPr>
        <w:spacing w:after="0" w:line="180" w:lineRule="exact"/>
        <w:rPr>
          <w:sz w:val="20"/>
          <w:szCs w:val="20"/>
          <w:color w:val="auto"/>
        </w:rPr>
      </w:pPr>
    </w:p>
    <w:p>
      <w:pPr>
        <w:ind w:right="40" w:firstLine="648"/>
        <w:spacing w:after="0" w:line="272" w:lineRule="auto"/>
        <w:rPr>
          <w:sz w:val="20"/>
          <w:szCs w:val="20"/>
          <w:color w:val="auto"/>
        </w:rPr>
      </w:pPr>
      <w:r>
        <w:rPr>
          <w:rFonts w:ascii="Arial" w:cs="Arial" w:eastAsia="Arial" w:hAnsi="Arial"/>
          <w:sz w:val="21"/>
          <w:szCs w:val="21"/>
          <w:i w:val="1"/>
          <w:iCs w:val="1"/>
          <w:color w:val="auto"/>
        </w:rPr>
        <w:t>When Information is Public</w:t>
      </w:r>
      <w:r>
        <w:rPr>
          <w:rFonts w:ascii="Arial" w:cs="Arial" w:eastAsia="Arial" w:hAnsi="Arial"/>
          <w:sz w:val="21"/>
          <w:szCs w:val="21"/>
          <w:color w:val="auto"/>
        </w:rPr>
        <w:t>. You may not trade on the basis of material information that has not been broadly</w:t>
      </w:r>
      <w:r>
        <w:rPr>
          <w:rFonts w:ascii="Arial" w:cs="Arial" w:eastAsia="Arial" w:hAnsi="Arial"/>
          <w:sz w:val="21"/>
          <w:szCs w:val="21"/>
          <w:i w:val="1"/>
          <w:iCs w:val="1"/>
          <w:color w:val="auto"/>
        </w:rPr>
        <w:t xml:space="preserve"> </w:t>
      </w:r>
      <w:r>
        <w:rPr>
          <w:rFonts w:ascii="Arial" w:cs="Arial" w:eastAsia="Arial" w:hAnsi="Arial"/>
          <w:sz w:val="21"/>
          <w:szCs w:val="21"/>
          <w:color w:val="auto"/>
        </w:rPr>
        <w:t>disclosed to the marketplace, such as through a press release or a filing with the SEC, and the marketplace has had time to absorb the information. As a general rule, information should not be considered fully absorbed by the marketplace until the end of the first full business day after the information is released. Thus, if information is released during the trading day or after the closing of the market on a Monday, trading should not take place until Wednesday. However, if the information in question is contained in a regular quarterly earnings release and the release is issued prior to the opening of the market on a given day, trading may take place on the next business day following the day of release. The fact that rumors, speculation, or statements attributed to sources other than the Company are public might be insufficient to be considered widely disseminated even when the information is accurate.</w:t>
      </w:r>
    </w:p>
    <w:p>
      <w:pPr>
        <w:spacing w:after="0" w:line="169"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i w:val="1"/>
          <w:iCs w:val="1"/>
          <w:color w:val="auto"/>
        </w:rPr>
        <w:t xml:space="preserve">Transactions under Company Plans. </w:t>
      </w:r>
      <w:r>
        <w:rPr>
          <w:rFonts w:ascii="Arial" w:cs="Arial" w:eastAsia="Arial" w:hAnsi="Arial"/>
          <w:sz w:val="21"/>
          <w:szCs w:val="21"/>
          <w:color w:val="auto"/>
        </w:rPr>
        <w:t>Although this Policy does not generally apply to the exercise of employee</w:t>
      </w:r>
      <w:r>
        <w:rPr>
          <w:rFonts w:ascii="Arial" w:cs="Arial" w:eastAsia="Arial" w:hAnsi="Arial"/>
          <w:sz w:val="21"/>
          <w:szCs w:val="21"/>
          <w:i w:val="1"/>
          <w:iCs w:val="1"/>
          <w:color w:val="auto"/>
        </w:rPr>
        <w:t xml:space="preserve"> </w:t>
      </w:r>
      <w:r>
        <w:rPr>
          <w:rFonts w:ascii="Arial" w:cs="Arial" w:eastAsia="Arial" w:hAnsi="Arial"/>
          <w:sz w:val="21"/>
          <w:szCs w:val="21"/>
          <w:color w:val="auto"/>
        </w:rPr>
        <w:t>stock options (other than cashless exercises as described below), it does apply to the sale of common stock received upon exercise. This Policy does apply, however, to the sale as part of a broker-assisted cashless exercise of a stock option and any market sale for the purpose of raising cash to fund the exercise of an option or to pay taxes. This Policy also applies to the following elections under a 401(k) plan:</w:t>
      </w:r>
    </w:p>
    <w:p>
      <w:pPr>
        <w:spacing w:after="0" w:line="190" w:lineRule="exact"/>
        <w:rPr>
          <w:sz w:val="20"/>
          <w:szCs w:val="20"/>
          <w:color w:val="auto"/>
        </w:rPr>
      </w:pPr>
    </w:p>
    <w:p>
      <w:pPr>
        <w:ind w:left="980" w:hanging="324"/>
        <w:spacing w:after="0"/>
        <w:tabs>
          <w:tab w:leader="none" w:pos="980" w:val="left"/>
        </w:tabs>
        <w:numPr>
          <w:ilvl w:val="0"/>
          <w:numId w:val="69"/>
        </w:numPr>
        <w:rPr>
          <w:rFonts w:ascii="Times New Roman" w:cs="Times New Roman" w:eastAsia="Times New Roman" w:hAnsi="Times New Roman"/>
          <w:sz w:val="21"/>
          <w:szCs w:val="21"/>
          <w:color w:val="auto"/>
        </w:rPr>
      </w:pPr>
      <w:r>
        <w:rPr>
          <w:rFonts w:ascii="Arial" w:cs="Arial" w:eastAsia="Arial" w:hAnsi="Arial"/>
          <w:sz w:val="21"/>
          <w:szCs w:val="21"/>
          <w:color w:val="auto"/>
        </w:rPr>
        <w:t>increasing or decreasing periodic contributions allocated to the purchase of Company securities;</w:t>
      </w:r>
    </w:p>
    <w:p>
      <w:pPr>
        <w:spacing w:after="0" w:line="21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69"/>
        </w:numPr>
        <w:rPr>
          <w:rFonts w:ascii="Times New Roman" w:cs="Times New Roman" w:eastAsia="Times New Roman" w:hAnsi="Times New Roman"/>
          <w:sz w:val="21"/>
          <w:szCs w:val="21"/>
          <w:color w:val="auto"/>
        </w:rPr>
      </w:pPr>
      <w:r>
        <w:rPr>
          <w:rFonts w:ascii="Arial" w:cs="Arial" w:eastAsia="Arial" w:hAnsi="Arial"/>
          <w:sz w:val="21"/>
          <w:szCs w:val="21"/>
          <w:color w:val="auto"/>
        </w:rPr>
        <w:t>intra-plan transfers of an existing balance in or out of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ectPr>
          <w:pgSz w:w="11900" w:h="16838" w:orient="portrait"/>
          <w:cols w:equalWidth="0" w:num="1">
            <w:col w:w="11240"/>
          </w:cols>
          <w:pgMar w:left="320" w:top="1417" w:right="339" w:bottom="1440" w:gutter="0" w:footer="0" w:header="0"/>
        </w:sectPr>
      </w:pPr>
    </w:p>
    <w:bookmarkStart w:id="112" w:name="page113"/>
    <w:bookmarkEnd w:id="112"/>
    <w:p>
      <w:pPr>
        <w:ind w:left="980" w:right="80" w:hanging="324"/>
        <w:spacing w:after="0" w:line="299" w:lineRule="auto"/>
        <w:tabs>
          <w:tab w:leader="none" w:pos="971" w:val="left"/>
        </w:tabs>
        <w:numPr>
          <w:ilvl w:val="0"/>
          <w:numId w:val="70"/>
        </w:numPr>
        <w:rPr>
          <w:rFonts w:ascii="Times New Roman" w:cs="Times New Roman" w:eastAsia="Times New Roman" w:hAnsi="Times New Roman"/>
          <w:sz w:val="21"/>
          <w:szCs w:val="21"/>
          <w:color w:val="auto"/>
        </w:rPr>
      </w:pPr>
      <w:r>
        <w:rPr>
          <w:rFonts w:ascii="Arial" w:cs="Arial" w:eastAsia="Arial" w:hAnsi="Arial"/>
          <w:sz w:val="21"/>
          <w:szCs w:val="21"/>
          <w:color w:val="auto"/>
        </w:rPr>
        <w:t>borrowing money against the account if the loan results in the liquidation of any portion of Company securities; and</w:t>
      </w:r>
    </w:p>
    <w:p>
      <w:pPr>
        <w:spacing w:after="0" w:line="153"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0"/>
        </w:numPr>
        <w:rPr>
          <w:rFonts w:ascii="Times New Roman" w:cs="Times New Roman" w:eastAsia="Times New Roman" w:hAnsi="Times New Roman"/>
          <w:sz w:val="21"/>
          <w:szCs w:val="21"/>
          <w:color w:val="auto"/>
        </w:rPr>
      </w:pPr>
      <w:r>
        <w:rPr>
          <w:rFonts w:ascii="Arial" w:cs="Arial" w:eastAsia="Arial" w:hAnsi="Arial"/>
          <w:sz w:val="21"/>
          <w:szCs w:val="21"/>
          <w:color w:val="auto"/>
        </w:rPr>
        <w:t>pre-paying a loan if the pre-payment results in allocation of the proceeds to Company securities.</w:t>
      </w:r>
    </w:p>
    <w:p>
      <w:pPr>
        <w:spacing w:after="0" w:line="244" w:lineRule="exact"/>
        <w:rPr>
          <w:sz w:val="20"/>
          <w:szCs w:val="20"/>
          <w:color w:val="auto"/>
        </w:rPr>
      </w:pPr>
    </w:p>
    <w:p>
      <w:pPr>
        <w:ind w:right="60" w:firstLine="648"/>
        <w:spacing w:after="0" w:line="270" w:lineRule="auto"/>
        <w:rPr>
          <w:sz w:val="20"/>
          <w:szCs w:val="20"/>
          <w:color w:val="auto"/>
        </w:rPr>
      </w:pPr>
      <w:r>
        <w:rPr>
          <w:rFonts w:ascii="Arial" w:cs="Arial" w:eastAsia="Arial" w:hAnsi="Arial"/>
          <w:sz w:val="21"/>
          <w:szCs w:val="21"/>
          <w:i w:val="1"/>
          <w:iCs w:val="1"/>
          <w:color w:val="auto"/>
        </w:rPr>
        <w:t>Confidentiality Obligations</w:t>
      </w:r>
      <w:r>
        <w:rPr>
          <w:rFonts w:ascii="Arial" w:cs="Arial" w:eastAsia="Arial" w:hAnsi="Arial"/>
          <w:sz w:val="21"/>
          <w:szCs w:val="21"/>
          <w:color w:val="auto"/>
        </w:rPr>
        <w:t>. The restrictions set forth in this Policy are designed to avoid misuse of material</w:t>
      </w:r>
      <w:r>
        <w:rPr>
          <w:rFonts w:ascii="Arial" w:cs="Arial" w:eastAsia="Arial" w:hAnsi="Arial"/>
          <w:sz w:val="21"/>
          <w:szCs w:val="21"/>
          <w:i w:val="1"/>
          <w:iCs w:val="1"/>
          <w:color w:val="auto"/>
        </w:rPr>
        <w:t xml:space="preserve"> </w:t>
      </w:r>
      <w:r>
        <w:rPr>
          <w:rFonts w:ascii="Arial" w:cs="Arial" w:eastAsia="Arial" w:hAnsi="Arial"/>
          <w:sz w:val="21"/>
          <w:szCs w:val="21"/>
          <w:color w:val="auto"/>
        </w:rPr>
        <w:t>nonpublic information in violation of securities laws. These restrictions are in addition to, and in no way alter, the general obligations that each director, executive officer, and every other employee of the Company has to maintain the confidentiality of all confidential or proprietary information concerning the Company and its business, as well as any other confidential information, that may be learned in the course of service or employment with the Company. No such information is to be disclosed to any other person in the Company unless that person has a clear need to know that information, and no such information may be disclosed to any third parties, except as required or otherwise contemplated by your function or position.</w:t>
      </w:r>
    </w:p>
    <w:p>
      <w:pPr>
        <w:spacing w:after="0" w:line="189" w:lineRule="exact"/>
        <w:rPr>
          <w:sz w:val="20"/>
          <w:szCs w:val="20"/>
          <w:color w:val="auto"/>
        </w:rPr>
      </w:pPr>
    </w:p>
    <w:p>
      <w:pPr>
        <w:ind w:right="40" w:firstLine="648"/>
        <w:spacing w:after="0" w:line="284" w:lineRule="auto"/>
        <w:rPr>
          <w:sz w:val="20"/>
          <w:szCs w:val="20"/>
          <w:color w:val="auto"/>
        </w:rPr>
      </w:pPr>
      <w:r>
        <w:rPr>
          <w:rFonts w:ascii="Arial" w:cs="Arial" w:eastAsia="Arial" w:hAnsi="Arial"/>
          <w:sz w:val="21"/>
          <w:szCs w:val="21"/>
          <w:color w:val="auto"/>
        </w:rPr>
        <w:t>You should take precautions to prevent the unauthorized disclosure or other misuse of such information by maintaining files securely, avoiding discussions of such information in public, and taking extra care when distributing such information electronically.</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b w:val="1"/>
          <w:bCs w:val="1"/>
          <w:color w:val="auto"/>
        </w:rPr>
        <w:t>IV.</w:t>
      </w:r>
      <w:r>
        <w:rPr>
          <w:sz w:val="20"/>
          <w:szCs w:val="20"/>
          <w:color w:val="auto"/>
        </w:rPr>
        <w:tab/>
      </w:r>
      <w:r>
        <w:rPr>
          <w:rFonts w:ascii="Arial" w:cs="Arial" w:eastAsia="Arial" w:hAnsi="Arial"/>
          <w:sz w:val="21"/>
          <w:szCs w:val="21"/>
          <w:b w:val="1"/>
          <w:bCs w:val="1"/>
          <w:color w:val="auto"/>
        </w:rPr>
        <w:t>Additional Prohibited Transactions</w:t>
      </w:r>
    </w:p>
    <w:p>
      <w:pPr>
        <w:spacing w:after="0" w:line="245" w:lineRule="exact"/>
        <w:rPr>
          <w:sz w:val="20"/>
          <w:szCs w:val="20"/>
          <w:color w:val="auto"/>
        </w:rPr>
      </w:pPr>
    </w:p>
    <w:p>
      <w:pPr>
        <w:ind w:right="660" w:firstLine="648"/>
        <w:spacing w:after="0" w:line="284" w:lineRule="auto"/>
        <w:rPr>
          <w:sz w:val="20"/>
          <w:szCs w:val="20"/>
          <w:color w:val="auto"/>
        </w:rPr>
      </w:pPr>
      <w:r>
        <w:rPr>
          <w:rFonts w:ascii="Arial" w:cs="Arial" w:eastAsia="Arial" w:hAnsi="Arial"/>
          <w:sz w:val="21"/>
          <w:szCs w:val="21"/>
          <w:color w:val="auto"/>
        </w:rPr>
        <w:t>Because we believe it is improper and inappropriate for any person to engage in short-term or speculative transactions involving the Company’s securities, Company Personnel and their Related Parties are prohibited from engaging in any of the following activities with respect to securities of the Company:</w:t>
      </w:r>
    </w:p>
    <w:p>
      <w:pPr>
        <w:spacing w:after="0" w:line="169" w:lineRule="exact"/>
        <w:rPr>
          <w:sz w:val="20"/>
          <w:szCs w:val="20"/>
          <w:color w:val="auto"/>
        </w:rPr>
      </w:pPr>
    </w:p>
    <w:p>
      <w:pPr>
        <w:ind w:left="980" w:right="260" w:hanging="324"/>
        <w:spacing w:after="0" w:line="326" w:lineRule="auto"/>
        <w:tabs>
          <w:tab w:leader="none" w:pos="971" w:val="left"/>
        </w:tabs>
        <w:numPr>
          <w:ilvl w:val="0"/>
          <w:numId w:val="71"/>
        </w:numPr>
        <w:rPr>
          <w:rFonts w:ascii="Times New Roman" w:cs="Times New Roman" w:eastAsia="Times New Roman" w:hAnsi="Times New Roman"/>
          <w:sz w:val="20"/>
          <w:szCs w:val="20"/>
          <w:color w:val="auto"/>
        </w:rPr>
      </w:pPr>
      <w:r>
        <w:rPr>
          <w:rFonts w:ascii="Arial" w:cs="Arial" w:eastAsia="Arial" w:hAnsi="Arial"/>
          <w:sz w:val="20"/>
          <w:szCs w:val="20"/>
          <w:b w:val="1"/>
          <w:bCs w:val="1"/>
          <w:color w:val="auto"/>
        </w:rPr>
        <w:t>Purchases of securities of the Company on margin</w:t>
      </w:r>
      <w:r>
        <w:rPr>
          <w:rFonts w:ascii="Arial" w:cs="Arial" w:eastAsia="Arial" w:hAnsi="Arial"/>
          <w:sz w:val="20"/>
          <w:szCs w:val="20"/>
          <w:color w:val="auto"/>
        </w:rPr>
        <w:t>. You may not purchase securities of the Company on</w:t>
      </w:r>
      <w:r>
        <w:rPr>
          <w:rFonts w:ascii="Arial" w:cs="Arial" w:eastAsia="Arial" w:hAnsi="Arial"/>
          <w:sz w:val="20"/>
          <w:szCs w:val="20"/>
          <w:b w:val="1"/>
          <w:bCs w:val="1"/>
          <w:color w:val="auto"/>
        </w:rPr>
        <w:t xml:space="preserve"> </w:t>
      </w:r>
      <w:r>
        <w:rPr>
          <w:rFonts w:ascii="Arial" w:cs="Arial" w:eastAsia="Arial" w:hAnsi="Arial"/>
          <w:sz w:val="20"/>
          <w:szCs w:val="20"/>
          <w:color w:val="auto"/>
        </w:rPr>
        <w:t>margin or pledge, or otherwise grant a security interest in, securities of the Company in margin accounts.</w:t>
      </w:r>
    </w:p>
    <w:p>
      <w:pPr>
        <w:spacing w:after="0" w:line="116" w:lineRule="exact"/>
        <w:rPr>
          <w:rFonts w:ascii="Times New Roman" w:cs="Times New Roman" w:eastAsia="Times New Roman" w:hAnsi="Times New Roman"/>
          <w:sz w:val="20"/>
          <w:szCs w:val="20"/>
          <w:color w:val="auto"/>
        </w:rPr>
      </w:pPr>
    </w:p>
    <w:p>
      <w:pPr>
        <w:ind w:left="980" w:hanging="324"/>
        <w:spacing w:after="0" w:line="283" w:lineRule="auto"/>
        <w:tabs>
          <w:tab w:leader="none" w:pos="971" w:val="left"/>
        </w:tabs>
        <w:numPr>
          <w:ilvl w:val="0"/>
          <w:numId w:val="71"/>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 xml:space="preserve">Short sales </w:t>
      </w:r>
      <w:r>
        <w:rPr>
          <w:rFonts w:ascii="Arial" w:cs="Arial" w:eastAsia="Arial" w:hAnsi="Arial"/>
          <w:sz w:val="21"/>
          <w:szCs w:val="21"/>
          <w:color w:val="auto"/>
        </w:rPr>
        <w:t>(i.e., selling stock you do not own and borrowing the shares to make delivery). The SEC effectively</w:t>
      </w:r>
      <w:r>
        <w:rPr>
          <w:rFonts w:ascii="Arial" w:cs="Arial" w:eastAsia="Arial" w:hAnsi="Arial"/>
          <w:sz w:val="21"/>
          <w:szCs w:val="21"/>
          <w:b w:val="1"/>
          <w:bCs w:val="1"/>
          <w:color w:val="auto"/>
        </w:rPr>
        <w:t xml:space="preserve"> </w:t>
      </w:r>
      <w:r>
        <w:rPr>
          <w:rFonts w:ascii="Arial" w:cs="Arial" w:eastAsia="Arial" w:hAnsi="Arial"/>
          <w:sz w:val="21"/>
          <w:szCs w:val="21"/>
          <w:color w:val="auto"/>
        </w:rPr>
        <w:t>prohibits directors and executive officers from selling Company securities short. This Policy expands this prohibition to cover all other employees.</w:t>
      </w:r>
    </w:p>
    <w:p>
      <w:pPr>
        <w:spacing w:after="0" w:line="170" w:lineRule="exact"/>
        <w:rPr>
          <w:rFonts w:ascii="Times New Roman" w:cs="Times New Roman" w:eastAsia="Times New Roman" w:hAnsi="Times New Roman"/>
          <w:sz w:val="21"/>
          <w:szCs w:val="21"/>
          <w:color w:val="auto"/>
        </w:rPr>
      </w:pPr>
    </w:p>
    <w:p>
      <w:pPr>
        <w:ind w:left="980" w:right="80" w:hanging="324"/>
        <w:spacing w:after="0" w:line="283" w:lineRule="auto"/>
        <w:tabs>
          <w:tab w:leader="none" w:pos="971" w:val="left"/>
        </w:tabs>
        <w:numPr>
          <w:ilvl w:val="0"/>
          <w:numId w:val="71"/>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Buying or selling puts, calls, options, or other derivatives in respect of securities of the Company</w:t>
      </w:r>
      <w:r>
        <w:rPr>
          <w:rFonts w:ascii="Arial" w:cs="Arial" w:eastAsia="Arial" w:hAnsi="Arial"/>
          <w:sz w:val="21"/>
          <w:szCs w:val="21"/>
          <w:color w:val="auto"/>
        </w:rPr>
        <w:t>. This</w:t>
      </w:r>
      <w:r>
        <w:rPr>
          <w:rFonts w:ascii="Arial" w:cs="Arial" w:eastAsia="Arial" w:hAnsi="Arial"/>
          <w:sz w:val="21"/>
          <w:szCs w:val="21"/>
          <w:b w:val="1"/>
          <w:bCs w:val="1"/>
          <w:color w:val="auto"/>
        </w:rPr>
        <w:t xml:space="preserve"> </w:t>
      </w:r>
      <w:r>
        <w:rPr>
          <w:rFonts w:ascii="Arial" w:cs="Arial" w:eastAsia="Arial" w:hAnsi="Arial"/>
          <w:sz w:val="21"/>
          <w:szCs w:val="21"/>
          <w:color w:val="auto"/>
        </w:rPr>
        <w:t>prohibition extends to any instrument whose value is derived from the value of any securities (e.g., common stock) of the Company.</w:t>
      </w:r>
    </w:p>
    <w:p>
      <w:pPr>
        <w:spacing w:after="0" w:line="170" w:lineRule="exact"/>
        <w:rPr>
          <w:rFonts w:ascii="Times New Roman" w:cs="Times New Roman" w:eastAsia="Times New Roman" w:hAnsi="Times New Roman"/>
          <w:sz w:val="21"/>
          <w:szCs w:val="21"/>
          <w:color w:val="auto"/>
        </w:rPr>
      </w:pPr>
    </w:p>
    <w:p>
      <w:pPr>
        <w:ind w:left="980" w:right="260" w:hanging="324"/>
        <w:spacing w:after="0" w:line="299" w:lineRule="auto"/>
        <w:tabs>
          <w:tab w:leader="none" w:pos="971" w:val="left"/>
        </w:tabs>
        <w:numPr>
          <w:ilvl w:val="0"/>
          <w:numId w:val="71"/>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 xml:space="preserve">Short-term trading </w:t>
      </w:r>
      <w:r>
        <w:rPr>
          <w:rFonts w:ascii="Arial" w:cs="Arial" w:eastAsia="Arial" w:hAnsi="Arial"/>
          <w:sz w:val="21"/>
          <w:szCs w:val="21"/>
          <w:color w:val="auto"/>
        </w:rPr>
        <w:t>(i.e., selling any Company securities of the same class during the six months following a</w:t>
      </w:r>
      <w:r>
        <w:rPr>
          <w:rFonts w:ascii="Arial" w:cs="Arial" w:eastAsia="Arial" w:hAnsi="Arial"/>
          <w:sz w:val="21"/>
          <w:szCs w:val="21"/>
          <w:b w:val="1"/>
          <w:bCs w:val="1"/>
          <w:color w:val="auto"/>
        </w:rPr>
        <w:t xml:space="preserve"> </w:t>
      </w:r>
      <w:r>
        <w:rPr>
          <w:rFonts w:ascii="Arial" w:cs="Arial" w:eastAsia="Arial" w:hAnsi="Arial"/>
          <w:sz w:val="21"/>
          <w:szCs w:val="21"/>
          <w:color w:val="auto"/>
        </w:rPr>
        <w:t>purchase, or purchasing any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21"/>
          <w:szCs w:val="21"/>
          <w:color w:val="auto"/>
        </w:rPr>
        <w:t>5</w:t>
      </w:r>
    </w:p>
    <w:p>
      <w:pPr>
        <w:sectPr>
          <w:pgSz w:w="11900" w:h="16838" w:orient="portrait"/>
          <w:cols w:equalWidth="0" w:num="1">
            <w:col w:w="11140"/>
          </w:cols>
          <w:pgMar w:left="320" w:top="1431" w:right="439" w:bottom="1440" w:gutter="0" w:footer="0" w:header="0"/>
        </w:sectPr>
      </w:pPr>
    </w:p>
    <w:bookmarkStart w:id="113" w:name="page114"/>
    <w:bookmarkEnd w:id="113"/>
    <w:p>
      <w:pPr>
        <w:ind w:left="980" w:right="200"/>
        <w:spacing w:after="0" w:line="276" w:lineRule="auto"/>
        <w:rPr>
          <w:sz w:val="20"/>
          <w:szCs w:val="20"/>
          <w:color w:val="auto"/>
        </w:rPr>
      </w:pPr>
      <w:r>
        <w:rPr>
          <w:rFonts w:ascii="Arial" w:cs="Arial" w:eastAsia="Arial" w:hAnsi="Arial"/>
          <w:sz w:val="21"/>
          <w:szCs w:val="21"/>
          <w:color w:val="auto"/>
        </w:rPr>
        <w:t>securities of the same class during the six months following a sale). Short-term trading of Company securities may unduly focus Company Personnel on the Company’s short-term stock market performance instead of the Company’s long-term business objectives, and frequent trading in Company securities can create an appearance of wrongdoing even if the decision to trade was based solely on public information such as stock price ranges and other market events.</w:t>
      </w:r>
    </w:p>
    <w:p>
      <w:pPr>
        <w:spacing w:after="0" w:line="177" w:lineRule="exact"/>
        <w:rPr>
          <w:sz w:val="20"/>
          <w:szCs w:val="20"/>
          <w:color w:val="auto"/>
        </w:rPr>
      </w:pPr>
    </w:p>
    <w:p>
      <w:pPr>
        <w:ind w:right="120" w:firstLine="648"/>
        <w:spacing w:after="0" w:line="262" w:lineRule="auto"/>
        <w:rPr>
          <w:sz w:val="20"/>
          <w:szCs w:val="20"/>
          <w:color w:val="auto"/>
        </w:rPr>
      </w:pPr>
      <w:r>
        <w:rPr>
          <w:rFonts w:ascii="Arial" w:cs="Arial" w:eastAsia="Arial" w:hAnsi="Arial"/>
          <w:sz w:val="21"/>
          <w:szCs w:val="21"/>
          <w:color w:val="auto"/>
        </w:rPr>
        <w:t>Company Personnel and their Related Parties are prohibited from purchasing any financial instruments (including prepaid variable forward contracts, equity swaps, collars, and exchange funds) or otherwise engaging in transactions that are designed to or have the effect of hedging or offsetting any decrease in the market value of the Company’s securities whether they are (1) granted to you by the Company as part of your compensation or (2) otherwise held, directly or indirectly, by you.</w:t>
      </w:r>
    </w:p>
    <w:p>
      <w:pPr>
        <w:spacing w:after="0" w:line="180" w:lineRule="exact"/>
        <w:rPr>
          <w:sz w:val="20"/>
          <w:szCs w:val="20"/>
          <w:color w:val="auto"/>
        </w:rPr>
      </w:pPr>
    </w:p>
    <w:p>
      <w:pPr>
        <w:ind w:right="180" w:firstLine="648"/>
        <w:spacing w:after="0" w:line="263" w:lineRule="auto"/>
        <w:rPr>
          <w:sz w:val="20"/>
          <w:szCs w:val="20"/>
          <w:color w:val="auto"/>
        </w:rPr>
      </w:pPr>
      <w:r>
        <w:rPr>
          <w:rFonts w:ascii="Arial" w:cs="Arial" w:eastAsia="Arial" w:hAnsi="Arial"/>
          <w:sz w:val="21"/>
          <w:szCs w:val="21"/>
          <w:color w:val="auto"/>
        </w:rPr>
        <w:t>No Pre-clear Person (as defined below) or their Related Parties may place any standing or limit orders other than as established in connection with a Rule 10b5-1 plan as described in Part VII below. Although Company Personnel other than Pre-clear Persons may place standing or limit orders other than in connection with a Rule 10b5-1 plan, you should use extreme caution if you engage in standing or limit orders because you might become aware of material non-public information after establishing an order. This could lead to inadvertent trading while in possession of material non-public information.</w:t>
      </w:r>
    </w:p>
    <w:p>
      <w:pPr>
        <w:spacing w:after="0" w:line="181" w:lineRule="exact"/>
        <w:rPr>
          <w:sz w:val="20"/>
          <w:szCs w:val="20"/>
          <w:color w:val="auto"/>
        </w:rPr>
      </w:pPr>
    </w:p>
    <w:p>
      <w:pPr>
        <w:ind w:left="640" w:hanging="632"/>
        <w:spacing w:after="0"/>
        <w:tabs>
          <w:tab w:leader="none" w:pos="640" w:val="left"/>
        </w:tabs>
        <w:numPr>
          <w:ilvl w:val="0"/>
          <w:numId w:val="72"/>
        </w:numPr>
        <w:rPr>
          <w:rFonts w:ascii="Arial" w:cs="Arial" w:eastAsia="Arial" w:hAnsi="Arial"/>
          <w:sz w:val="21"/>
          <w:szCs w:val="21"/>
          <w:b w:val="1"/>
          <w:bCs w:val="1"/>
          <w:color w:val="auto"/>
        </w:rPr>
      </w:pPr>
      <w:r>
        <w:rPr>
          <w:rFonts w:ascii="Arial" w:cs="Arial" w:eastAsia="Arial" w:hAnsi="Arial"/>
          <w:sz w:val="21"/>
          <w:szCs w:val="21"/>
          <w:b w:val="1"/>
          <w:bCs w:val="1"/>
          <w:color w:val="auto"/>
        </w:rPr>
        <w:t>Blackout Periods – For Directors, Executive Officers, and Certain Other Designated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4855210</wp:posOffset>
            </wp:positionH>
            <wp:positionV relativeFrom="paragraph">
              <wp:posOffset>-12700</wp:posOffset>
            </wp:positionV>
            <wp:extent cx="361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8">
                      <a:extLst>
                        <a:ext uri="{28A0092B-C50C-407E-A947-70E740481C1C}"/>
                      </a:extLst>
                    </a:blip>
                    <a:srcRect/>
                    <a:stretch>
                      <a:fillRect/>
                    </a:stretch>
                  </pic:blipFill>
                  <pic:spPr bwMode="auto">
                    <a:xfrm>
                      <a:off x="0" y="0"/>
                      <a:ext cx="36195" cy="8255"/>
                    </a:xfrm>
                    <a:prstGeom prst="rect">
                      <a:avLst/>
                    </a:prstGeom>
                    <a:noFill/>
                  </pic:spPr>
                </pic:pic>
              </a:graphicData>
            </a:graphic>
          </wp:anchor>
        </w:drawing>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21"/>
          <w:szCs w:val="21"/>
          <w:color w:val="auto"/>
        </w:rPr>
        <w:t>The Company’s announcement of quarterly or annual financial results has the potential to have a material impact on the market for the Company’s securities. Therefore, in order to avoid any appearance that its directors, executive officers, or others are trading while aware of material nonpublic information, all directors, executive officers, and certain other persons who are or may be expected to be aware of quarterly financial results of the Company before they are made public and are informed by the General Counsel or the Chief Securities and Governance Counsel (or their designees), and their respective Related Parties, will be subject to quarterly blackouts on trading.</w:t>
      </w:r>
    </w:p>
    <w:p>
      <w:pPr>
        <w:spacing w:after="0" w:line="167" w:lineRule="exact"/>
        <w:rPr>
          <w:sz w:val="20"/>
          <w:szCs w:val="20"/>
          <w:color w:val="auto"/>
        </w:rPr>
      </w:pPr>
    </w:p>
    <w:p>
      <w:pPr>
        <w:ind w:firstLine="648"/>
        <w:spacing w:after="0" w:line="243" w:lineRule="auto"/>
        <w:rPr>
          <w:sz w:val="20"/>
          <w:szCs w:val="20"/>
          <w:color w:val="auto"/>
        </w:rPr>
      </w:pPr>
      <w:r>
        <w:rPr>
          <w:rFonts w:ascii="Arial" w:cs="Arial" w:eastAsia="Arial" w:hAnsi="Arial"/>
          <w:sz w:val="21"/>
          <w:szCs w:val="21"/>
          <w:color w:val="auto"/>
        </w:rPr>
        <w:t>The Company’s “</w:t>
      </w:r>
      <w:r>
        <w:rPr>
          <w:rFonts w:ascii="Arial" w:cs="Arial" w:eastAsia="Arial" w:hAnsi="Arial"/>
          <w:sz w:val="21"/>
          <w:szCs w:val="21"/>
          <w:u w:val="single" w:color="auto"/>
          <w:color w:val="auto"/>
        </w:rPr>
        <w:t>blackout period</w:t>
      </w:r>
      <w:r>
        <w:rPr>
          <w:rFonts w:ascii="Arial" w:cs="Arial" w:eastAsia="Arial" w:hAnsi="Arial"/>
          <w:sz w:val="21"/>
          <w:szCs w:val="21"/>
          <w:color w:val="auto"/>
        </w:rPr>
        <w:t>” in relation to the publication of its annual and quarterly results starts on the fifteenth (15</w:t>
      </w:r>
      <w:r>
        <w:rPr>
          <w:rFonts w:ascii="Arial" w:cs="Arial" w:eastAsia="Arial" w:hAnsi="Arial"/>
          <w:sz w:val="26"/>
          <w:szCs w:val="26"/>
          <w:color w:val="auto"/>
          <w:vertAlign w:val="superscript"/>
        </w:rPr>
        <w:t>th</w:t>
      </w:r>
      <w:r>
        <w:rPr>
          <w:rFonts w:ascii="Arial" w:cs="Arial" w:eastAsia="Arial" w:hAnsi="Arial"/>
          <w:sz w:val="21"/>
          <w:szCs w:val="21"/>
          <w:color w:val="auto"/>
        </w:rPr>
        <w:t>) day of the last month of every fiscal quarter, except that if the fourteenth (14</w:t>
      </w:r>
      <w:r>
        <w:rPr>
          <w:rFonts w:ascii="Arial" w:cs="Arial" w:eastAsia="Arial" w:hAnsi="Arial"/>
          <w:sz w:val="26"/>
          <w:szCs w:val="26"/>
          <w:color w:val="auto"/>
          <w:vertAlign w:val="superscript"/>
        </w:rPr>
        <w:t>th</w:t>
      </w:r>
      <w:r>
        <w:rPr>
          <w:rFonts w:ascii="Arial" w:cs="Arial" w:eastAsia="Arial" w:hAnsi="Arial"/>
          <w:sz w:val="21"/>
          <w:szCs w:val="21"/>
          <w:color w:val="auto"/>
        </w:rPr>
        <w:t>) day falls on a weekend or a day on which the Nasdaq stock market is closed for the entire day for purposes of trading securities, then the blackout period starts on the day after the last day that the Nasdaq stock market is open before the fifteenth day. The blackout period ends after one full trading day has elapsed following the release of the Company’s earnings results for that quarter. In certain instances, the Company may impose a different blackout period for all or a portion of Company Personnel, to the extent and during the periods as the General Counsel and the Chief Securities and Governance Counsel (or their designees) may direct, including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6</w:t>
      </w:r>
    </w:p>
    <w:p>
      <w:pPr>
        <w:sectPr>
          <w:pgSz w:w="11900" w:h="16838" w:orient="portrait"/>
          <w:cols w:equalWidth="0" w:num="1">
            <w:col w:w="11200"/>
          </w:cols>
          <w:pgMar w:left="320" w:top="1431" w:right="379" w:bottom="1440" w:gutter="0" w:footer="0" w:header="0"/>
        </w:sectPr>
      </w:pPr>
    </w:p>
    <w:bookmarkStart w:id="114" w:name="page115"/>
    <w:bookmarkEnd w:id="114"/>
    <w:p>
      <w:pPr>
        <w:ind w:right="720"/>
        <w:spacing w:after="0" w:line="273" w:lineRule="auto"/>
        <w:rPr>
          <w:sz w:val="20"/>
          <w:szCs w:val="20"/>
          <w:color w:val="auto"/>
        </w:rPr>
      </w:pPr>
      <w:r>
        <w:rPr>
          <w:rFonts w:ascii="Arial" w:cs="Arial" w:eastAsia="Arial" w:hAnsi="Arial"/>
          <w:sz w:val="21"/>
          <w:szCs w:val="21"/>
          <w:color w:val="auto"/>
        </w:rPr>
        <w:t>required by Section 306 of the Sarbanes-Oxley Act of 2002 or its implementing regulations. In such cases, affected directors and/or employees will receive notification of this blackout period.</w:t>
      </w:r>
    </w:p>
    <w:p>
      <w:pPr>
        <w:spacing w:after="0" w:line="166" w:lineRule="exact"/>
        <w:rPr>
          <w:sz w:val="20"/>
          <w:szCs w:val="20"/>
          <w:color w:val="auto"/>
        </w:rPr>
      </w:pPr>
    </w:p>
    <w:p>
      <w:pPr>
        <w:ind w:right="160" w:firstLine="648"/>
        <w:spacing w:after="0" w:line="256" w:lineRule="auto"/>
        <w:rPr>
          <w:sz w:val="20"/>
          <w:szCs w:val="20"/>
          <w:color w:val="auto"/>
        </w:rPr>
      </w:pPr>
      <w:r>
        <w:rPr>
          <w:rFonts w:ascii="Arial" w:cs="Arial" w:eastAsia="Arial" w:hAnsi="Arial"/>
          <w:sz w:val="21"/>
          <w:szCs w:val="21"/>
          <w:color w:val="auto"/>
        </w:rPr>
        <w:t xml:space="preserve">During these blackout periods, directors, executive officers, as well as other employees designated by the Company, generally including those who may have access to financial information about the Company before it has been made public, and their Related Parties, are </w:t>
      </w:r>
      <w:r>
        <w:rPr>
          <w:rFonts w:ascii="Arial" w:cs="Arial" w:eastAsia="Arial" w:hAnsi="Arial"/>
          <w:sz w:val="21"/>
          <w:szCs w:val="21"/>
          <w:b w:val="1"/>
          <w:bCs w:val="1"/>
          <w:color w:val="auto"/>
        </w:rPr>
        <w:t>prohibited</w:t>
      </w:r>
      <w:r>
        <w:rPr>
          <w:rFonts w:ascii="Arial" w:cs="Arial" w:eastAsia="Arial" w:hAnsi="Arial"/>
          <w:sz w:val="21"/>
          <w:szCs w:val="21"/>
          <w:color w:val="auto"/>
        </w:rPr>
        <w:t xml:space="preserve"> from effecting transactions in securities of the Company. Persons who should observe the blackout period will be notified that they are subject to the blackout period.</w:t>
      </w:r>
    </w:p>
    <w:p>
      <w:pPr>
        <w:spacing w:after="0" w:line="171" w:lineRule="exact"/>
        <w:rPr>
          <w:sz w:val="20"/>
          <w:szCs w:val="20"/>
          <w:color w:val="auto"/>
        </w:rPr>
      </w:pPr>
    </w:p>
    <w:p>
      <w:pPr>
        <w:ind w:firstLine="648"/>
        <w:spacing w:after="0" w:line="251" w:lineRule="auto"/>
        <w:rPr>
          <w:sz w:val="20"/>
          <w:szCs w:val="20"/>
          <w:color w:val="auto"/>
        </w:rPr>
      </w:pPr>
      <w:r>
        <w:rPr>
          <w:rFonts w:ascii="Arial" w:cs="Arial" w:eastAsia="Arial" w:hAnsi="Arial"/>
          <w:sz w:val="21"/>
          <w:szCs w:val="21"/>
          <w:color w:val="auto"/>
        </w:rPr>
        <w:t>The blackout periods described above may be modified by the Company at any time. In addition, the Company may from time to time determine that effecting transactions in securities of the Company is inappropriate at a time that is outside the regularly quarterly blackout periods and, accordingly, may notify you of additional closed periods at any time. Those subject to blackout period requirements will receive notice of any modification by the Company of the closed period policy or of any additional prohibition on trading during a non-blackout period. Such persons should avoid disclosing to others the fact that they have been prohibited from trading. Persons subject to the blackout period restrictions who terminate their employment with the Company during a blackout period will remain subject to the restrictions until the end of such period.</w:t>
      </w:r>
    </w:p>
    <w:p>
      <w:pPr>
        <w:spacing w:after="0" w:line="180" w:lineRule="exact"/>
        <w:rPr>
          <w:sz w:val="20"/>
          <w:szCs w:val="20"/>
          <w:color w:val="auto"/>
        </w:rPr>
      </w:pPr>
    </w:p>
    <w:p>
      <w:pPr>
        <w:ind w:right="280" w:firstLine="648"/>
        <w:spacing w:after="0" w:line="260" w:lineRule="auto"/>
        <w:rPr>
          <w:sz w:val="20"/>
          <w:szCs w:val="20"/>
          <w:color w:val="auto"/>
        </w:rPr>
      </w:pPr>
      <w:r>
        <w:rPr>
          <w:rFonts w:ascii="Arial" w:cs="Arial" w:eastAsia="Arial" w:hAnsi="Arial"/>
          <w:sz w:val="21"/>
          <w:szCs w:val="21"/>
          <w:color w:val="auto"/>
        </w:rPr>
        <w:t>The prohibition described in this Part V also applies to gifts of Company securities and contributions of Company securities to a trust, except as otherwise outlined above under Part II of this Policy. The prohibition does not apply with respect to a public offering of Company securities specifically authorized by the Company’s board of directors or duly authorized board committee.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See Part VII below for the principles applicable to transactions under Rule 10b5-1 plans.</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VI.</w:t>
      </w:r>
      <w:r>
        <w:rPr>
          <w:sz w:val="20"/>
          <w:szCs w:val="20"/>
          <w:color w:val="auto"/>
        </w:rPr>
        <w:tab/>
      </w:r>
      <w:r>
        <w:rPr>
          <w:rFonts w:ascii="Arial" w:cs="Arial" w:eastAsia="Arial" w:hAnsi="Arial"/>
          <w:sz w:val="21"/>
          <w:szCs w:val="21"/>
          <w:b w:val="1"/>
          <w:bCs w:val="1"/>
          <w:color w:val="auto"/>
        </w:rPr>
        <w:t>Pre-Clearance of Securities Transactions</w:t>
      </w:r>
    </w:p>
    <w:p>
      <w:pPr>
        <w:spacing w:after="0" w:line="204" w:lineRule="exact"/>
        <w:rPr>
          <w:sz w:val="20"/>
          <w:szCs w:val="20"/>
          <w:color w:val="auto"/>
        </w:rPr>
      </w:pPr>
    </w:p>
    <w:p>
      <w:pPr>
        <w:ind w:firstLine="648"/>
        <w:spacing w:after="0" w:line="255" w:lineRule="auto"/>
        <w:rPr>
          <w:sz w:val="20"/>
          <w:szCs w:val="20"/>
          <w:color w:val="auto"/>
        </w:rPr>
      </w:pPr>
      <w:r>
        <w:rPr>
          <w:rFonts w:ascii="Arial" w:cs="Arial" w:eastAsia="Arial" w:hAnsi="Arial"/>
          <w:sz w:val="21"/>
          <w:szCs w:val="21"/>
          <w:color w:val="auto"/>
        </w:rPr>
        <w:t xml:space="preserve">To provide assistance in preventing inadvertent violations of the law (which could result, for example, from failure by directors and executive officers to comply with reporting and other obligations under Section 16 of the Exchange Act) and avoiding even the appearance of an improper transaction, </w:t>
      </w:r>
      <w:r>
        <w:rPr>
          <w:rFonts w:ascii="Arial" w:cs="Arial" w:eastAsia="Arial" w:hAnsi="Arial"/>
          <w:sz w:val="21"/>
          <w:szCs w:val="21"/>
          <w:b w:val="1"/>
          <w:bCs w:val="1"/>
          <w:color w:val="auto"/>
        </w:rPr>
        <w:t>all transactions in securities of the Company by the</w:t>
      </w:r>
      <w:r>
        <w:rPr>
          <w:rFonts w:ascii="Arial" w:cs="Arial" w:eastAsia="Arial" w:hAnsi="Arial"/>
          <w:sz w:val="21"/>
          <w:szCs w:val="21"/>
          <w:color w:val="auto"/>
        </w:rPr>
        <w:t xml:space="preserve"> </w:t>
      </w:r>
      <w:r>
        <w:rPr>
          <w:rFonts w:ascii="Arial" w:cs="Arial" w:eastAsia="Arial" w:hAnsi="Arial"/>
          <w:sz w:val="21"/>
          <w:szCs w:val="21"/>
          <w:b w:val="1"/>
          <w:bCs w:val="1"/>
          <w:color w:val="auto"/>
        </w:rPr>
        <w:t>following persons and their Related Parties must be pre-cleared by the Company’s General Counsel or the Chief Securities and Governance Counsel (or their designees):</w:t>
      </w:r>
    </w:p>
    <w:p>
      <w:pPr>
        <w:spacing w:after="0" w:line="175" w:lineRule="exact"/>
        <w:rPr>
          <w:sz w:val="20"/>
          <w:szCs w:val="20"/>
          <w:color w:val="auto"/>
        </w:rPr>
      </w:pPr>
    </w:p>
    <w:p>
      <w:pPr>
        <w:ind w:left="980" w:hanging="324"/>
        <w:spacing w:after="0"/>
        <w:tabs>
          <w:tab w:leader="none" w:pos="980" w:val="left"/>
        </w:tabs>
        <w:numPr>
          <w:ilvl w:val="0"/>
          <w:numId w:val="73"/>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directors;</w:t>
      </w:r>
    </w:p>
    <w:p>
      <w:pPr>
        <w:spacing w:after="0" w:line="216" w:lineRule="exact"/>
        <w:rPr>
          <w:rFonts w:ascii="Times New Roman" w:cs="Times New Roman" w:eastAsia="Times New Roman" w:hAnsi="Times New Roman"/>
          <w:sz w:val="21"/>
          <w:szCs w:val="21"/>
          <w:color w:val="auto"/>
        </w:rPr>
      </w:pPr>
    </w:p>
    <w:p>
      <w:pPr>
        <w:ind w:left="980" w:hanging="324"/>
        <w:spacing w:after="0"/>
        <w:tabs>
          <w:tab w:leader="none" w:pos="980" w:val="left"/>
        </w:tabs>
        <w:numPr>
          <w:ilvl w:val="0"/>
          <w:numId w:val="73"/>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executive officers;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ectPr>
          <w:pgSz w:w="11900" w:h="16838" w:orient="portrait"/>
          <w:cols w:equalWidth="0" w:num="1">
            <w:col w:w="11220"/>
          </w:cols>
          <w:pgMar w:left="320" w:top="1417" w:right="359" w:bottom="1440" w:gutter="0" w:footer="0" w:header="0"/>
        </w:sectPr>
      </w:pPr>
    </w:p>
    <w:bookmarkStart w:id="115" w:name="page116"/>
    <w:bookmarkEnd w:id="115"/>
    <w:p>
      <w:pPr>
        <w:ind w:left="980" w:right="300" w:hanging="324"/>
        <w:spacing w:after="0" w:line="268" w:lineRule="auto"/>
        <w:tabs>
          <w:tab w:leader="none" w:pos="971" w:val="left"/>
        </w:tabs>
        <w:numPr>
          <w:ilvl w:val="0"/>
          <w:numId w:val="74"/>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any other persons who are expressly informed by the General Counsel or the Chief Securities and Governance Counsel (or their designees) that they must pre-clear all transactions in securities of the Company</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(collectively, the “Pre-clear Persons”).</w:t>
      </w:r>
    </w:p>
    <w:p>
      <w:pPr>
        <w:spacing w:after="0" w:line="245" w:lineRule="exact"/>
        <w:rPr>
          <w:sz w:val="20"/>
          <w:szCs w:val="20"/>
          <w:color w:val="auto"/>
        </w:rPr>
      </w:pPr>
    </w:p>
    <w:p>
      <w:pPr>
        <w:ind w:firstLine="648"/>
        <w:spacing w:after="0" w:line="271" w:lineRule="auto"/>
        <w:rPr>
          <w:sz w:val="20"/>
          <w:szCs w:val="20"/>
          <w:color w:val="auto"/>
        </w:rPr>
      </w:pPr>
      <w:r>
        <w:rPr>
          <w:rFonts w:ascii="Arial" w:cs="Arial" w:eastAsia="Arial" w:hAnsi="Arial"/>
          <w:sz w:val="21"/>
          <w:szCs w:val="21"/>
          <w:color w:val="auto"/>
        </w:rPr>
        <w:t>Pre-clear Persons must inform the General Counsel and the Chief Securities and Governance Counsel (or their designees) at least two business days (or such shorter period as the General Counsel or the Chief Securities and Governance Counsel (or their designees) may determine) in advance of effecting any transaction and may not effect any transaction unless given clearance to do so. Clearance, if granted, will be valid for three business days following the approval date. If a transaction for which clearance has been granted is not effected (i.e., the trade is not placed) within that three-business day period, the transaction must again be pre-cleared.</w:t>
      </w:r>
    </w:p>
    <w:p>
      <w:pPr>
        <w:spacing w:after="0" w:line="186"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To the extent that a material event or development affecting the Company remains nonpublic, a Pre-clear Person will not be given permission to effect transactions in securities of the Company. The Pre-clear Person may not be informed of the reason why they may not trade. Any person that is made aware of the reason for an event-specific prohibition on trading should in no event disclose the reason for the prohibition to third parties and should avoid disclosing the existence of the prohibition, if possible. Caution should be exercised when telling a broker or other person who suggested a trade that the trade cannot be effected at the time.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Note that the pre-clearance procedures may delay the disposition of any security after it is purchased.</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See Part VII below for the principles applicable to transactions under Rule 10b5-1 plans.</w:t>
      </w:r>
    </w:p>
    <w:p>
      <w:pPr>
        <w:spacing w:after="0" w:line="231"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VII.</w:t>
        <w:tab/>
        <w:t>10b5-1 Plans.</w:t>
      </w:r>
    </w:p>
    <w:p>
      <w:pPr>
        <w:spacing w:after="0" w:line="245" w:lineRule="exact"/>
        <w:rPr>
          <w:sz w:val="20"/>
          <w:szCs w:val="20"/>
          <w:color w:val="auto"/>
        </w:rPr>
      </w:pPr>
    </w:p>
    <w:p>
      <w:pPr>
        <w:ind w:right="40" w:firstLine="648"/>
        <w:spacing w:after="0" w:line="274" w:lineRule="auto"/>
        <w:rPr>
          <w:sz w:val="20"/>
          <w:szCs w:val="20"/>
          <w:color w:val="auto"/>
        </w:rPr>
      </w:pPr>
      <w:r>
        <w:rPr>
          <w:rFonts w:ascii="Arial" w:cs="Arial" w:eastAsia="Arial" w:hAnsi="Arial"/>
          <w:sz w:val="21"/>
          <w:szCs w:val="21"/>
          <w:color w:val="auto"/>
        </w:rPr>
        <w:t>SEC Rule 10b5-1 provides a defense against insider trading liability for trades that are effected pursuant to a pre-arranged trading plan that meets specified conditions. The trading plan must be properly documented, and all of the procedural conditions of the rule must be satisfied to avoid liability. Rule 10b5-1 plans allow transactions for the account of an insider to occur during blackout periods or while the insider has material nonpublic information provided the insider has previously given instructions or other control to effect pre-planned transactions in securities of the Company to a third party.</w:t>
      </w:r>
    </w:p>
    <w:p>
      <w:pPr>
        <w:spacing w:after="0" w:line="182" w:lineRule="exact"/>
        <w:rPr>
          <w:sz w:val="20"/>
          <w:szCs w:val="20"/>
          <w:color w:val="auto"/>
        </w:rPr>
      </w:pPr>
    </w:p>
    <w:p>
      <w:pPr>
        <w:ind w:right="40" w:firstLine="648"/>
        <w:spacing w:after="0" w:line="278" w:lineRule="auto"/>
        <w:rPr>
          <w:sz w:val="20"/>
          <w:szCs w:val="20"/>
          <w:color w:val="auto"/>
        </w:rPr>
      </w:pPr>
      <w:r>
        <w:rPr>
          <w:rFonts w:ascii="Arial" w:cs="Arial" w:eastAsia="Arial" w:hAnsi="Arial"/>
          <w:sz w:val="21"/>
          <w:szCs w:val="21"/>
          <w:color w:val="auto"/>
        </w:rPr>
        <w:t>Any Rule 10b5-1 plan adopted must comply with any rules or regulations related to Rule 10b5-1 plans promulgated by the SEC or any other regulatory authority. The insider must establish the plan at a time when he or she is not in possession of material nonpublic information and the insider may not exercise any subsequent influence over how, when, or whether to effect transactions. A Rule 10b5-1 plan would specify in 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8</w:t>
      </w:r>
    </w:p>
    <w:p>
      <w:pPr>
        <w:sectPr>
          <w:pgSz w:w="11900" w:h="16838" w:orient="portrait"/>
          <w:cols w:equalWidth="0" w:num="1">
            <w:col w:w="11200"/>
          </w:cols>
          <w:pgMar w:left="320" w:top="1417" w:right="379" w:bottom="1440" w:gutter="0" w:footer="0" w:header="0"/>
        </w:sectPr>
      </w:pPr>
    </w:p>
    <w:bookmarkStart w:id="116" w:name="page117"/>
    <w:bookmarkEnd w:id="116"/>
    <w:p>
      <w:pPr>
        <w:spacing w:after="0" w:line="284" w:lineRule="auto"/>
        <w:rPr>
          <w:sz w:val="20"/>
          <w:szCs w:val="20"/>
          <w:color w:val="auto"/>
        </w:rPr>
      </w:pPr>
      <w:r>
        <w:rPr>
          <w:rFonts w:ascii="Arial" w:cs="Arial" w:eastAsia="Arial" w:hAnsi="Arial"/>
          <w:sz w:val="20"/>
          <w:szCs w:val="20"/>
          <w:color w:val="auto"/>
        </w:rPr>
        <w:t>in advance the amount and price of the securities to be sold and the date for the sale (or a formula for determining the amount, price, and date) and would otherwise not permit the insider to exercise any subsequent influence over how, when, or whether to effect the sales. The Rule 10b5-1 plan must be adopted in good faith and not as part of a plan or scheme to evade the federal securities laws, the person adopting the Rule 10b5-1 plan must act in good faith with respect to the Rule 10b5-1 plan, the person must not have entered into or altered a corresponding or hedging transaction or position with respect to the securities subject to the Rule 10b5-1 plan, and the first trade under the Rule 10b5-1 plan must not occur until the expiration of the statutory cooling-off period. Any director or executive officer (and/or their Related Parties) entering into a Rule 10b5-1 plan will be required to execute a certain certification relating to the Rule 10b5-1 plan, and the material terms of the Rule 10b5-1 plan, other than with respect to price, will be required to be disclosed in the Company’s periodic report for the quarter in which the Rule 10b5-1 plan is adopted, amended, or terminated. Certain restrictions on overlapping and single-trade plans also apply. After adopting a valid Rule 10b5-1 plan, the insider will have an affirmative defense that a sale under the plan was not made “on the basis of” material nonpublic information.</w:t>
      </w:r>
    </w:p>
    <w:p>
      <w:pPr>
        <w:spacing w:after="0" w:line="163" w:lineRule="exact"/>
        <w:rPr>
          <w:sz w:val="20"/>
          <w:szCs w:val="20"/>
          <w:color w:val="auto"/>
        </w:rPr>
      </w:pPr>
    </w:p>
    <w:p>
      <w:pPr>
        <w:jc w:val="both"/>
        <w:ind w:right="100" w:firstLine="648"/>
        <w:spacing w:after="0" w:line="256" w:lineRule="auto"/>
        <w:rPr>
          <w:sz w:val="20"/>
          <w:szCs w:val="20"/>
          <w:color w:val="auto"/>
        </w:rPr>
      </w:pPr>
      <w:r>
        <w:rPr>
          <w:rFonts w:ascii="Arial" w:cs="Arial" w:eastAsia="Arial" w:hAnsi="Arial"/>
          <w:sz w:val="21"/>
          <w:szCs w:val="21"/>
          <w:color w:val="auto"/>
        </w:rPr>
        <w:t>The Company will treat the creation, modification, or termination of a pre-planned trading program or arrangement established to meet the requirements of Rule 10b5-1 as a transaction subject to the blackout period rules set forth in Part V of this Policy. Transactions effected pursuant to a properly established Rule 10b5-1 plan, however, will not be subject to the blackout periods under Part V of this Policy.</w:t>
      </w:r>
    </w:p>
    <w:p>
      <w:pPr>
        <w:spacing w:after="0" w:line="185"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The Company will treat the creation, modification, or termination of a pre-planned trading program or arrangement established to meet the requirements of Rule 10b5-1 as a transaction subject to pre-clearance under Part VI of this Policy at the time the plan is established, modified, or terminated. Persons wishing to enter into a Rule 10b5-1 plan must obtain approval of entry into any such plans or arrangements from the Company’s General Counsel or the Chief Securities and Governance Counsel (or their designees) and must follow any separate processes and procedures related to Rule 10b5-1 plans that the Company may establish from time to time. Even though each transaction effected under a Rule 10b5-1 plan does not need to be pre-cleared, it nonetheless must be made in accordance with Rule 144 and must be reported on a Form 4 under Section 16 of the Exchange Act for persons subject to those regulations.</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VIII.</w:t>
        <w:tab/>
        <w:t>Interpretations</w:t>
      </w:r>
    </w:p>
    <w:p>
      <w:pPr>
        <w:spacing w:after="0" w:line="191" w:lineRule="exact"/>
        <w:rPr>
          <w:sz w:val="20"/>
          <w:szCs w:val="20"/>
          <w:color w:val="auto"/>
        </w:rPr>
      </w:pPr>
    </w:p>
    <w:p>
      <w:pPr>
        <w:ind w:right="240" w:firstLine="648"/>
        <w:spacing w:after="0" w:line="256" w:lineRule="auto"/>
        <w:rPr>
          <w:sz w:val="20"/>
          <w:szCs w:val="20"/>
          <w:color w:val="auto"/>
        </w:rPr>
      </w:pPr>
      <w:r>
        <w:rPr>
          <w:rFonts w:ascii="Arial" w:cs="Arial" w:eastAsia="Arial" w:hAnsi="Arial"/>
          <w:sz w:val="21"/>
          <w:szCs w:val="21"/>
          <w:color w:val="auto"/>
        </w:rPr>
        <w:t>The General Counsel and the Chief Securities and Governance Counsel in the Global Law &amp; Policy group are responsible for interpreting this Policy. Remember that the ultimate responsibility for adhering to this Policy and avoiding improper transactions rests with you. It is imperative that you use your best judgment and ask before acting if you are unsure.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1"/>
          <w:szCs w:val="21"/>
          <w:b w:val="1"/>
          <w:bCs w:val="1"/>
          <w:color w:val="auto"/>
        </w:rPr>
        <w:t>IX.</w:t>
      </w:r>
      <w:r>
        <w:rPr>
          <w:sz w:val="20"/>
          <w:szCs w:val="20"/>
          <w:color w:val="auto"/>
        </w:rPr>
        <w:tab/>
      </w:r>
      <w:r>
        <w:rPr>
          <w:rFonts w:ascii="Arial" w:cs="Arial" w:eastAsia="Arial" w:hAnsi="Arial"/>
          <w:sz w:val="21"/>
          <w:szCs w:val="21"/>
          <w:b w:val="1"/>
          <w:bCs w:val="1"/>
          <w:color w:val="auto"/>
        </w:rPr>
        <w:t>Company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9</w:t>
      </w:r>
    </w:p>
    <w:p>
      <w:pPr>
        <w:sectPr>
          <w:pgSz w:w="11900" w:h="16838" w:orient="portrait"/>
          <w:cols w:equalWidth="0" w:num="1">
            <w:col w:w="11200"/>
          </w:cols>
          <w:pgMar w:left="320" w:top="1431" w:right="379" w:bottom="1440" w:gutter="0" w:footer="0" w:header="0"/>
        </w:sectPr>
      </w:pPr>
    </w:p>
    <w:bookmarkStart w:id="117" w:name="page118"/>
    <w:bookmarkEnd w:id="117"/>
    <w:p>
      <w:pPr>
        <w:ind w:right="420" w:firstLine="648"/>
        <w:spacing w:after="0" w:line="264" w:lineRule="auto"/>
        <w:rPr>
          <w:sz w:val="20"/>
          <w:szCs w:val="20"/>
          <w:color w:val="auto"/>
        </w:rPr>
      </w:pPr>
      <w:r>
        <w:rPr>
          <w:rFonts w:ascii="Arial" w:cs="Arial" w:eastAsia="Arial" w:hAnsi="Arial"/>
          <w:sz w:val="21"/>
          <w:szCs w:val="21"/>
          <w:color w:val="auto"/>
        </w:rPr>
        <w:t>From time to time, the Company may engage in transactions in its own securities. It is the Company’s policy to comply with all applicable securities and state laws (including appropriate approvals by the Board of Directors or appropriate committee, if required) when engaging in transactions in Company securities.</w:t>
      </w:r>
    </w:p>
    <w:p>
      <w:pPr>
        <w:spacing w:after="0" w:line="148" w:lineRule="exact"/>
        <w:rPr>
          <w:sz w:val="20"/>
          <w:szCs w:val="20"/>
          <w:color w:val="auto"/>
        </w:rPr>
      </w:pPr>
    </w:p>
    <w:p>
      <w:pPr>
        <w:ind w:left="660" w:hanging="652"/>
        <w:spacing w:after="0"/>
        <w:tabs>
          <w:tab w:leader="none" w:pos="660"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color w:val="auto"/>
        </w:rPr>
        <w:t>Certification</w:t>
      </w:r>
    </w:p>
    <w:p>
      <w:pPr>
        <w:spacing w:after="0" w:line="204" w:lineRule="exact"/>
        <w:rPr>
          <w:sz w:val="20"/>
          <w:szCs w:val="20"/>
          <w:color w:val="auto"/>
        </w:rPr>
      </w:pPr>
    </w:p>
    <w:p>
      <w:pPr>
        <w:ind w:firstLine="648"/>
        <w:spacing w:after="0" w:line="273" w:lineRule="auto"/>
        <w:rPr>
          <w:sz w:val="20"/>
          <w:szCs w:val="20"/>
          <w:color w:val="auto"/>
        </w:rPr>
      </w:pPr>
      <w:r>
        <w:rPr>
          <w:rFonts w:ascii="Arial" w:cs="Arial" w:eastAsia="Arial" w:hAnsi="Arial"/>
          <w:sz w:val="21"/>
          <w:szCs w:val="21"/>
          <w:color w:val="auto"/>
        </w:rPr>
        <w:t>All directors and executive officers subject to this Policy will be required to certify periodically their understanding of and intent to comply with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160"/>
          </w:cols>
          <w:pgMar w:left="320" w:top="1417" w:right="4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6"/>
          <w:szCs w:val="16"/>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7060" w:type="dxa"/>
            <w:vAlign w:val="bottom"/>
          </w:tcPr>
          <w:p>
            <w:pPr>
              <w:jc w:val="center"/>
              <w:ind w:right="4039"/>
              <w:spacing w:after="0"/>
              <w:rPr>
                <w:sz w:val="20"/>
                <w:szCs w:val="20"/>
                <w:color w:val="auto"/>
              </w:rPr>
            </w:pPr>
            <w:r>
              <w:rPr>
                <w:rFonts w:ascii="Arial" w:cs="Arial" w:eastAsia="Arial" w:hAnsi="Arial"/>
                <w:sz w:val="18"/>
                <w:szCs w:val="18"/>
                <w:b w:val="1"/>
                <w:bCs w:val="1"/>
                <w:color w:val="auto"/>
                <w:w w:val="99"/>
              </w:rPr>
              <w:t>GE HealthCare Technologies Inc.</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7060" w:type="dxa"/>
            <w:vAlign w:val="bottom"/>
          </w:tcPr>
          <w:p>
            <w:pPr>
              <w:jc w:val="center"/>
              <w:ind w:right="4059"/>
              <w:spacing w:after="0"/>
              <w:rPr>
                <w:sz w:val="20"/>
                <w:szCs w:val="20"/>
                <w:color w:val="auto"/>
              </w:rPr>
            </w:pPr>
            <w:r>
              <w:rPr>
                <w:rFonts w:ascii="Arial" w:cs="Arial" w:eastAsia="Arial" w:hAnsi="Arial"/>
                <w:sz w:val="18"/>
                <w:szCs w:val="18"/>
                <w:b w:val="1"/>
                <w:bCs w:val="1"/>
                <w:color w:val="auto"/>
              </w:rPr>
              <w:t>Subsidiaries of Registrant</w:t>
            </w:r>
          </w:p>
        </w:tc>
        <w:tc>
          <w:tcPr>
            <w:tcW w:w="0" w:type="dxa"/>
            <w:vAlign w:val="bottom"/>
          </w:tcPr>
          <w:p>
            <w:pPr>
              <w:spacing w:after="0"/>
              <w:rPr>
                <w:sz w:val="1"/>
                <w:szCs w:val="1"/>
                <w:color w:val="auto"/>
              </w:rPr>
            </w:pPr>
          </w:p>
        </w:tc>
      </w:tr>
      <w:tr>
        <w:trPr>
          <w:trHeight w:val="247"/>
        </w:trPr>
        <w:tc>
          <w:tcPr>
            <w:tcW w:w="4140" w:type="dxa"/>
            <w:vAlign w:val="bottom"/>
          </w:tcPr>
          <w:p>
            <w:pPr>
              <w:spacing w:after="0"/>
              <w:rPr>
                <w:sz w:val="21"/>
                <w:szCs w:val="21"/>
                <w:color w:val="auto"/>
              </w:rPr>
            </w:pPr>
          </w:p>
        </w:tc>
        <w:tc>
          <w:tcPr>
            <w:tcW w:w="7060" w:type="dxa"/>
            <w:vAlign w:val="bottom"/>
          </w:tcPr>
          <w:p>
            <w:pPr>
              <w:jc w:val="center"/>
              <w:ind w:right="4059"/>
              <w:spacing w:after="0"/>
              <w:rPr>
                <w:sz w:val="20"/>
                <w:szCs w:val="20"/>
                <w:color w:val="auto"/>
              </w:rPr>
            </w:pPr>
            <w:r>
              <w:rPr>
                <w:rFonts w:ascii="Arial" w:cs="Arial" w:eastAsia="Arial" w:hAnsi="Arial"/>
                <w:sz w:val="18"/>
                <w:szCs w:val="18"/>
                <w:b w:val="1"/>
                <w:bCs w:val="1"/>
                <w:color w:val="auto"/>
                <w:w w:val="99"/>
              </w:rPr>
              <w:t>As of December 31, 2025</w:t>
            </w:r>
          </w:p>
        </w:tc>
        <w:tc>
          <w:tcPr>
            <w:tcW w:w="0" w:type="dxa"/>
            <w:vAlign w:val="bottom"/>
          </w:tcPr>
          <w:p>
            <w:pPr>
              <w:spacing w:after="0"/>
              <w:rPr>
                <w:sz w:val="1"/>
                <w:szCs w:val="1"/>
                <w:color w:val="auto"/>
              </w:rPr>
            </w:pPr>
          </w:p>
        </w:tc>
      </w:tr>
      <w:tr>
        <w:trPr>
          <w:trHeight w:val="420"/>
        </w:trPr>
        <w:tc>
          <w:tcPr>
            <w:tcW w:w="4140" w:type="dxa"/>
            <w:vAlign w:val="bottom"/>
          </w:tcPr>
          <w:p>
            <w:pPr>
              <w:spacing w:after="0"/>
              <w:rPr>
                <w:sz w:val="24"/>
                <w:szCs w:val="24"/>
                <w:color w:val="auto"/>
              </w:rPr>
            </w:pPr>
          </w:p>
        </w:tc>
        <w:tc>
          <w:tcPr>
            <w:tcW w:w="7060" w:type="dxa"/>
            <w:vAlign w:val="bottom"/>
          </w:tcPr>
          <w:p>
            <w:pPr>
              <w:ind w:left="4260"/>
              <w:spacing w:after="0"/>
              <w:rPr>
                <w:sz w:val="20"/>
                <w:szCs w:val="20"/>
                <w:color w:val="auto"/>
              </w:rPr>
            </w:pPr>
            <w:r>
              <w:rPr>
                <w:rFonts w:ascii="Arial" w:cs="Arial" w:eastAsia="Arial" w:hAnsi="Arial"/>
                <w:sz w:val="16"/>
                <w:szCs w:val="16"/>
                <w:b w:val="1"/>
                <w:bCs w:val="1"/>
                <w:color w:val="454545"/>
              </w:rPr>
              <w:t>STATE OR COUNTRY OF</w:t>
            </w:r>
          </w:p>
        </w:tc>
        <w:tc>
          <w:tcPr>
            <w:tcW w:w="0" w:type="dxa"/>
            <w:vAlign w:val="bottom"/>
          </w:tcPr>
          <w:p>
            <w:pPr>
              <w:spacing w:after="0"/>
              <w:rPr>
                <w:sz w:val="1"/>
                <w:szCs w:val="1"/>
                <w:color w:val="auto"/>
              </w:rPr>
            </w:pPr>
          </w:p>
        </w:tc>
      </w:tr>
      <w:tr>
        <w:trPr>
          <w:trHeight w:val="162"/>
        </w:trPr>
        <w:tc>
          <w:tcPr>
            <w:tcW w:w="4140" w:type="dxa"/>
            <w:vAlign w:val="bottom"/>
            <w:vMerge w:val="restart"/>
          </w:tcPr>
          <w:p>
            <w:pPr>
              <w:ind w:left="20"/>
              <w:spacing w:after="0"/>
              <w:rPr>
                <w:sz w:val="20"/>
                <w:szCs w:val="20"/>
                <w:color w:val="auto"/>
              </w:rPr>
            </w:pPr>
            <w:r>
              <w:rPr>
                <w:rFonts w:ascii="Arial" w:cs="Arial" w:eastAsia="Arial" w:hAnsi="Arial"/>
                <w:sz w:val="16"/>
                <w:szCs w:val="16"/>
                <w:b w:val="1"/>
                <w:bCs w:val="1"/>
                <w:color w:val="454545"/>
              </w:rPr>
              <w:t>LEGAL ENTITY</w:t>
            </w:r>
          </w:p>
        </w:tc>
        <w:tc>
          <w:tcPr>
            <w:tcW w:w="7060" w:type="dxa"/>
            <w:vAlign w:val="bottom"/>
          </w:tcPr>
          <w:p>
            <w:pPr>
              <w:ind w:left="4260"/>
              <w:spacing w:after="0" w:line="162" w:lineRule="exact"/>
              <w:rPr>
                <w:sz w:val="20"/>
                <w:szCs w:val="20"/>
                <w:color w:val="auto"/>
              </w:rPr>
            </w:pPr>
            <w:r>
              <w:rPr>
                <w:rFonts w:ascii="Arial" w:cs="Arial" w:eastAsia="Arial" w:hAnsi="Arial"/>
                <w:sz w:val="16"/>
                <w:szCs w:val="16"/>
                <w:b w:val="1"/>
                <w:bCs w:val="1"/>
                <w:color w:val="454545"/>
              </w:rPr>
              <w:t>INCORPORATION OR</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6400A0"/>
            </w:tcBorders>
            <w:vMerge w:val="continue"/>
          </w:tcPr>
          <w:p>
            <w:pPr>
              <w:spacing w:after="0"/>
              <w:rPr>
                <w:sz w:val="18"/>
                <w:szCs w:val="18"/>
                <w:color w:val="auto"/>
              </w:rPr>
            </w:pPr>
          </w:p>
        </w:tc>
        <w:tc>
          <w:tcPr>
            <w:tcW w:w="7060" w:type="dxa"/>
            <w:vAlign w:val="bottom"/>
            <w:tcBorders>
              <w:bottom w:val="single" w:sz="8" w:color="6400A0"/>
            </w:tcBorders>
          </w:tcPr>
          <w:p>
            <w:pPr>
              <w:ind w:left="4260"/>
              <w:spacing w:after="0"/>
              <w:rPr>
                <w:sz w:val="20"/>
                <w:szCs w:val="20"/>
                <w:color w:val="auto"/>
              </w:rPr>
            </w:pPr>
            <w:r>
              <w:rPr>
                <w:rFonts w:ascii="Arial" w:cs="Arial" w:eastAsia="Arial" w:hAnsi="Arial"/>
                <w:sz w:val="16"/>
                <w:szCs w:val="16"/>
                <w:b w:val="1"/>
                <w:bCs w:val="1"/>
                <w:color w:val="454545"/>
              </w:rPr>
              <w:t>ORGANIZATION</w:t>
            </w:r>
          </w:p>
        </w:tc>
        <w:tc>
          <w:tcPr>
            <w:tcW w:w="0" w:type="dxa"/>
            <w:vAlign w:val="bottom"/>
          </w:tcPr>
          <w:p>
            <w:pPr>
              <w:spacing w:after="0"/>
              <w:rPr>
                <w:sz w:val="1"/>
                <w:szCs w:val="1"/>
                <w:color w:val="auto"/>
              </w:rPr>
            </w:pPr>
          </w:p>
        </w:tc>
      </w:tr>
      <w:tr>
        <w:trPr>
          <w:trHeight w:val="208"/>
        </w:trPr>
        <w:tc>
          <w:tcPr>
            <w:tcW w:w="4140" w:type="dxa"/>
            <w:vAlign w:val="bottom"/>
          </w:tcPr>
          <w:p>
            <w:pPr>
              <w:ind w:left="20"/>
              <w:spacing w:after="0"/>
              <w:rPr>
                <w:sz w:val="20"/>
                <w:szCs w:val="20"/>
                <w:color w:val="auto"/>
              </w:rPr>
            </w:pPr>
            <w:r>
              <w:rPr>
                <w:rFonts w:ascii="Arial" w:cs="Arial" w:eastAsia="Arial" w:hAnsi="Arial"/>
                <w:sz w:val="16"/>
                <w:szCs w:val="16"/>
                <w:color w:val="auto"/>
              </w:rPr>
              <w:t>Beijing GE Hualun Medical Equipment Company Limited</w:t>
            </w:r>
          </w:p>
        </w:tc>
        <w:tc>
          <w:tcPr>
            <w:tcW w:w="7060" w:type="dxa"/>
            <w:vAlign w:val="bottom"/>
          </w:tcPr>
          <w:p>
            <w:pPr>
              <w:ind w:left="42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5"/>
        </w:trPr>
        <w:tc>
          <w:tcPr>
            <w:tcW w:w="4140" w:type="dxa"/>
            <w:vAlign w:val="bottom"/>
          </w:tcPr>
          <w:p>
            <w:pPr>
              <w:ind w:left="20"/>
              <w:spacing w:after="0"/>
              <w:rPr>
                <w:sz w:val="20"/>
                <w:szCs w:val="20"/>
                <w:color w:val="auto"/>
              </w:rPr>
            </w:pPr>
            <w:r>
              <w:rPr>
                <w:rFonts w:ascii="Arial" w:cs="Arial" w:eastAsia="Arial" w:hAnsi="Arial"/>
                <w:sz w:val="16"/>
                <w:szCs w:val="16"/>
                <w:color w:val="auto"/>
              </w:rPr>
              <w:t>BK Medical ApS</w:t>
            </w:r>
          </w:p>
        </w:tc>
        <w:tc>
          <w:tcPr>
            <w:tcW w:w="7060" w:type="dxa"/>
            <w:vAlign w:val="bottom"/>
          </w:tcPr>
          <w:p>
            <w:pPr>
              <w:ind w:left="426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BK Medical Australia Pty Ltd.</w:t>
            </w:r>
          </w:p>
        </w:tc>
        <w:tc>
          <w:tcPr>
            <w:tcW w:w="7060" w:type="dxa"/>
            <w:vAlign w:val="bottom"/>
          </w:tcPr>
          <w:p>
            <w:pPr>
              <w:ind w:left="426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BK Medical Holding Company, Inc.</w:t>
            </w:r>
          </w:p>
        </w:tc>
        <w:tc>
          <w:tcPr>
            <w:tcW w:w="7060" w:type="dxa"/>
            <w:vAlign w:val="bottom"/>
          </w:tcPr>
          <w:p>
            <w:pPr>
              <w:ind w:left="42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BK Medical Technology Shanghai Co., Ltd.</w:t>
            </w:r>
          </w:p>
        </w:tc>
        <w:tc>
          <w:tcPr>
            <w:tcW w:w="7060" w:type="dxa"/>
            <w:vAlign w:val="bottom"/>
          </w:tcPr>
          <w:p>
            <w:pPr>
              <w:ind w:left="42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BKM Holding Company, Inc.</w:t>
            </w:r>
          </w:p>
        </w:tc>
        <w:tc>
          <w:tcPr>
            <w:tcW w:w="7060" w:type="dxa"/>
            <w:vAlign w:val="bottom"/>
          </w:tcPr>
          <w:p>
            <w:pPr>
              <w:ind w:left="42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Caption Care PC, NJ</w:t>
            </w:r>
          </w:p>
        </w:tc>
        <w:tc>
          <w:tcPr>
            <w:tcW w:w="7060" w:type="dxa"/>
            <w:vAlign w:val="bottom"/>
          </w:tcPr>
          <w:p>
            <w:pPr>
              <w:ind w:left="4260"/>
              <w:spacing w:after="0"/>
              <w:rPr>
                <w:sz w:val="20"/>
                <w:szCs w:val="20"/>
                <w:color w:val="auto"/>
              </w:rPr>
            </w:pPr>
            <w:r>
              <w:rPr>
                <w:rFonts w:ascii="Arial" w:cs="Arial" w:eastAsia="Arial" w:hAnsi="Arial"/>
                <w:sz w:val="16"/>
                <w:szCs w:val="16"/>
                <w:color w:val="auto"/>
              </w:rPr>
              <w:t>New Jersey</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Caption Health, Inc.</w:t>
            </w:r>
          </w:p>
        </w:tc>
        <w:tc>
          <w:tcPr>
            <w:tcW w:w="7060" w:type="dxa"/>
            <w:vAlign w:val="bottom"/>
          </w:tcPr>
          <w:p>
            <w:pPr>
              <w:ind w:left="42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Critikon de Mexico, S. de R.L. de C.V.</w:t>
            </w:r>
          </w:p>
        </w:tc>
        <w:tc>
          <w:tcPr>
            <w:tcW w:w="7060" w:type="dxa"/>
            <w:vAlign w:val="bottom"/>
          </w:tcPr>
          <w:p>
            <w:pPr>
              <w:ind w:left="4260"/>
              <w:spacing w:after="0"/>
              <w:rPr>
                <w:sz w:val="20"/>
                <w:szCs w:val="20"/>
                <w:color w:val="auto"/>
              </w:rPr>
            </w:pPr>
            <w:r>
              <w:rPr>
                <w:rFonts w:ascii="Arial" w:cs="Arial" w:eastAsia="Arial" w:hAnsi="Arial"/>
                <w:sz w:val="16"/>
                <w:szCs w:val="16"/>
                <w:color w:val="auto"/>
              </w:rPr>
              <w:t>Mexico</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Datex-Ohmeda, Inc.</w:t>
            </w:r>
          </w:p>
        </w:tc>
        <w:tc>
          <w:tcPr>
            <w:tcW w:w="7060" w:type="dxa"/>
            <w:vAlign w:val="bottom"/>
          </w:tcPr>
          <w:p>
            <w:pPr>
              <w:ind w:left="42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BE Private Ltd*</w:t>
            </w:r>
          </w:p>
        </w:tc>
        <w:tc>
          <w:tcPr>
            <w:tcW w:w="7060" w:type="dxa"/>
            <w:vAlign w:val="bottom"/>
          </w:tcPr>
          <w:p>
            <w:pPr>
              <w:ind w:left="4260"/>
              <w:spacing w:after="0"/>
              <w:rPr>
                <w:sz w:val="20"/>
                <w:szCs w:val="20"/>
                <w:color w:val="auto"/>
              </w:rPr>
            </w:pPr>
            <w:r>
              <w:rPr>
                <w:rFonts w:ascii="Arial" w:cs="Arial" w:eastAsia="Arial" w:hAnsi="Arial"/>
                <w:sz w:val="16"/>
                <w:szCs w:val="16"/>
                <w:color w:val="auto"/>
              </w:rPr>
              <w:t>India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Financial Markets Funding I</w:t>
            </w:r>
          </w:p>
        </w:tc>
        <w:tc>
          <w:tcPr>
            <w:tcW w:w="7060" w:type="dxa"/>
            <w:vAlign w:val="bottom"/>
          </w:tcPr>
          <w:p>
            <w:pPr>
              <w:ind w:left="426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Financial Markets Unlimited Company</w:t>
            </w:r>
          </w:p>
        </w:tc>
        <w:tc>
          <w:tcPr>
            <w:tcW w:w="7060" w:type="dxa"/>
            <w:vAlign w:val="bottom"/>
          </w:tcPr>
          <w:p>
            <w:pPr>
              <w:ind w:left="4260"/>
              <w:spacing w:after="0"/>
              <w:rPr>
                <w:sz w:val="20"/>
                <w:szCs w:val="20"/>
                <w:color w:val="auto"/>
              </w:rPr>
            </w:pPr>
            <w:r>
              <w:rPr>
                <w:rFonts w:ascii="Arial" w:cs="Arial" w:eastAsia="Arial" w:hAnsi="Arial"/>
                <w:sz w:val="16"/>
                <w:szCs w:val="16"/>
                <w:color w:val="auto"/>
              </w:rPr>
              <w:t>Ireland</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Hangwei Medical Systems Co., Ltd.*</w:t>
            </w:r>
          </w:p>
        </w:tc>
        <w:tc>
          <w:tcPr>
            <w:tcW w:w="7060" w:type="dxa"/>
            <w:vAlign w:val="bottom"/>
          </w:tcPr>
          <w:p>
            <w:pPr>
              <w:ind w:left="42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(AB)</w:t>
            </w:r>
          </w:p>
        </w:tc>
        <w:tc>
          <w:tcPr>
            <w:tcW w:w="7060" w:type="dxa"/>
            <w:vAlign w:val="bottom"/>
          </w:tcPr>
          <w:p>
            <w:pPr>
              <w:ind w:left="4260"/>
              <w:spacing w:after="0"/>
              <w:rPr>
                <w:sz w:val="20"/>
                <w:szCs w:val="20"/>
                <w:color w:val="auto"/>
              </w:rPr>
            </w:pPr>
            <w:r>
              <w:rPr>
                <w:rFonts w:ascii="Arial" w:cs="Arial" w:eastAsia="Arial" w:hAnsi="Arial"/>
                <w:sz w:val="16"/>
                <w:szCs w:val="16"/>
                <w:color w:val="auto"/>
              </w:rPr>
              <w:t>United Kingdom</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(Barbados) SRL</w:t>
            </w:r>
          </w:p>
        </w:tc>
        <w:tc>
          <w:tcPr>
            <w:tcW w:w="7060" w:type="dxa"/>
            <w:vAlign w:val="bottom"/>
          </w:tcPr>
          <w:p>
            <w:pPr>
              <w:ind w:left="4260"/>
              <w:spacing w:after="0"/>
              <w:rPr>
                <w:sz w:val="20"/>
                <w:szCs w:val="20"/>
                <w:color w:val="auto"/>
              </w:rPr>
            </w:pPr>
            <w:r>
              <w:rPr>
                <w:rFonts w:ascii="Arial" w:cs="Arial" w:eastAsia="Arial" w:hAnsi="Arial"/>
                <w:sz w:val="16"/>
                <w:szCs w:val="16"/>
                <w:color w:val="auto"/>
              </w:rPr>
              <w:t>Barbados</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(Chengdu) Company Limited</w:t>
            </w:r>
          </w:p>
        </w:tc>
        <w:tc>
          <w:tcPr>
            <w:tcW w:w="7060" w:type="dxa"/>
            <w:vAlign w:val="bottom"/>
          </w:tcPr>
          <w:p>
            <w:pPr>
              <w:ind w:left="42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(China) Co., Ltd.</w:t>
            </w:r>
          </w:p>
        </w:tc>
        <w:tc>
          <w:tcPr>
            <w:tcW w:w="7060" w:type="dxa"/>
            <w:vAlign w:val="bottom"/>
          </w:tcPr>
          <w:p>
            <w:pPr>
              <w:ind w:left="42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(Pty) Ltd</w:t>
            </w:r>
          </w:p>
        </w:tc>
        <w:tc>
          <w:tcPr>
            <w:tcW w:w="7060" w:type="dxa"/>
            <w:vAlign w:val="bottom"/>
          </w:tcPr>
          <w:p>
            <w:pPr>
              <w:ind w:left="4260"/>
              <w:spacing w:after="0"/>
              <w:rPr>
                <w:sz w:val="20"/>
                <w:szCs w:val="20"/>
                <w:color w:val="auto"/>
              </w:rPr>
            </w:pPr>
            <w:r>
              <w:rPr>
                <w:rFonts w:ascii="Arial" w:cs="Arial" w:eastAsia="Arial" w:hAnsi="Arial"/>
                <w:sz w:val="16"/>
                <w:szCs w:val="16"/>
                <w:color w:val="auto"/>
              </w:rPr>
              <w:t>South Africa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(Shanghai) Co Ltd</w:t>
            </w:r>
          </w:p>
        </w:tc>
        <w:tc>
          <w:tcPr>
            <w:tcW w:w="7060" w:type="dxa"/>
            <w:vAlign w:val="bottom"/>
          </w:tcPr>
          <w:p>
            <w:pPr>
              <w:ind w:left="42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(Tianjin) Co., Ltd.</w:t>
            </w:r>
          </w:p>
        </w:tc>
        <w:tc>
          <w:tcPr>
            <w:tcW w:w="7060" w:type="dxa"/>
            <w:vAlign w:val="bottom"/>
          </w:tcPr>
          <w:p>
            <w:pPr>
              <w:ind w:left="4260"/>
              <w:spacing w:after="0"/>
              <w:rPr>
                <w:sz w:val="20"/>
                <w:szCs w:val="20"/>
                <w:color w:val="auto"/>
              </w:rPr>
            </w:pPr>
            <w:r>
              <w:rPr>
                <w:rFonts w:ascii="Arial" w:cs="Arial" w:eastAsia="Arial" w:hAnsi="Arial"/>
                <w:sz w:val="16"/>
                <w:szCs w:val="16"/>
                <w:color w:val="auto"/>
              </w:rPr>
              <w:t>China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A/S</w:t>
            </w:r>
          </w:p>
        </w:tc>
        <w:tc>
          <w:tcPr>
            <w:tcW w:w="7060" w:type="dxa"/>
            <w:vAlign w:val="bottom"/>
          </w:tcPr>
          <w:p>
            <w:pPr>
              <w:ind w:left="426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AB</w:t>
            </w:r>
          </w:p>
        </w:tc>
        <w:tc>
          <w:tcPr>
            <w:tcW w:w="7060" w:type="dxa"/>
            <w:vAlign w:val="bottom"/>
          </w:tcPr>
          <w:p>
            <w:pPr>
              <w:ind w:left="4260"/>
              <w:spacing w:after="0"/>
              <w:rPr>
                <w:sz w:val="20"/>
                <w:szCs w:val="20"/>
                <w:color w:val="auto"/>
              </w:rPr>
            </w:pPr>
            <w:r>
              <w:rPr>
                <w:rFonts w:ascii="Arial" w:cs="Arial" w:eastAsia="Arial" w:hAnsi="Arial"/>
                <w:sz w:val="16"/>
                <w:szCs w:val="16"/>
                <w:color w:val="auto"/>
              </w:rPr>
              <w:t>Sweden</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AG</w:t>
            </w:r>
          </w:p>
        </w:tc>
        <w:tc>
          <w:tcPr>
            <w:tcW w:w="7060" w:type="dxa"/>
            <w:vAlign w:val="bottom"/>
          </w:tcPr>
          <w:p>
            <w:pPr>
              <w:ind w:left="4260"/>
              <w:spacing w:after="0"/>
              <w:rPr>
                <w:sz w:val="20"/>
                <w:szCs w:val="20"/>
                <w:color w:val="auto"/>
              </w:rPr>
            </w:pPr>
            <w:r>
              <w:rPr>
                <w:rFonts w:ascii="Arial" w:cs="Arial" w:eastAsia="Arial" w:hAnsi="Arial"/>
                <w:sz w:val="16"/>
                <w:szCs w:val="16"/>
                <w:color w:val="auto"/>
              </w:rPr>
              <w:t>Switzerland</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Algerie SARL</w:t>
            </w:r>
          </w:p>
        </w:tc>
        <w:tc>
          <w:tcPr>
            <w:tcW w:w="7060" w:type="dxa"/>
            <w:vAlign w:val="bottom"/>
          </w:tcPr>
          <w:p>
            <w:pPr>
              <w:ind w:left="4260"/>
              <w:spacing w:after="0"/>
              <w:rPr>
                <w:sz w:val="20"/>
                <w:szCs w:val="20"/>
                <w:color w:val="auto"/>
              </w:rPr>
            </w:pPr>
            <w:r>
              <w:rPr>
                <w:rFonts w:ascii="Arial" w:cs="Arial" w:eastAsia="Arial" w:hAnsi="Arial"/>
                <w:sz w:val="16"/>
                <w:szCs w:val="16"/>
                <w:color w:val="auto"/>
              </w:rPr>
              <w:t>Algeria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Argentina S.A.</w:t>
            </w:r>
          </w:p>
        </w:tc>
        <w:tc>
          <w:tcPr>
            <w:tcW w:w="7060" w:type="dxa"/>
            <w:vAlign w:val="bottom"/>
          </w:tcPr>
          <w:p>
            <w:pPr>
              <w:ind w:left="4260"/>
              <w:spacing w:after="0"/>
              <w:rPr>
                <w:sz w:val="20"/>
                <w:szCs w:val="20"/>
                <w:color w:val="auto"/>
              </w:rPr>
            </w:pPr>
            <w:r>
              <w:rPr>
                <w:rFonts w:ascii="Arial" w:cs="Arial" w:eastAsia="Arial" w:hAnsi="Arial"/>
                <w:sz w:val="16"/>
                <w:szCs w:val="16"/>
                <w:color w:val="auto"/>
              </w:rPr>
              <w:t>Argentina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AS</w:t>
            </w:r>
          </w:p>
        </w:tc>
        <w:tc>
          <w:tcPr>
            <w:tcW w:w="7060" w:type="dxa"/>
            <w:vAlign w:val="bottom"/>
          </w:tcPr>
          <w:p>
            <w:pPr>
              <w:ind w:left="426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Australia Holdings Pty Ltd</w:t>
            </w:r>
          </w:p>
        </w:tc>
        <w:tc>
          <w:tcPr>
            <w:tcW w:w="7060" w:type="dxa"/>
            <w:vAlign w:val="bottom"/>
          </w:tcPr>
          <w:p>
            <w:pPr>
              <w:ind w:left="426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Australia Pty Limited</w:t>
            </w:r>
          </w:p>
        </w:tc>
        <w:tc>
          <w:tcPr>
            <w:tcW w:w="7060" w:type="dxa"/>
            <w:vAlign w:val="bottom"/>
          </w:tcPr>
          <w:p>
            <w:pPr>
              <w:ind w:left="4260"/>
              <w:spacing w:after="0"/>
              <w:rPr>
                <w:sz w:val="20"/>
                <w:szCs w:val="20"/>
                <w:color w:val="auto"/>
              </w:rPr>
            </w:pPr>
            <w:r>
              <w:rPr>
                <w:rFonts w:ascii="Arial" w:cs="Arial" w:eastAsia="Arial" w:hAnsi="Arial"/>
                <w:sz w:val="16"/>
                <w:szCs w:val="16"/>
                <w:color w:val="auto"/>
              </w:rPr>
              <w:t>Australia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Austria GmbH &amp; Co OG</w:t>
            </w:r>
          </w:p>
        </w:tc>
        <w:tc>
          <w:tcPr>
            <w:tcW w:w="7060" w:type="dxa"/>
            <w:vAlign w:val="bottom"/>
          </w:tcPr>
          <w:p>
            <w:pPr>
              <w:ind w:left="4260"/>
              <w:spacing w:after="0"/>
              <w:rPr>
                <w:sz w:val="20"/>
                <w:szCs w:val="20"/>
                <w:color w:val="auto"/>
              </w:rPr>
            </w:pPr>
            <w:r>
              <w:rPr>
                <w:rFonts w:ascii="Arial" w:cs="Arial" w:eastAsia="Arial" w:hAnsi="Arial"/>
                <w:sz w:val="16"/>
                <w:szCs w:val="16"/>
                <w:color w:val="auto"/>
              </w:rPr>
              <w:t>Austria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B.V.</w:t>
            </w:r>
          </w:p>
        </w:tc>
        <w:tc>
          <w:tcPr>
            <w:tcW w:w="7060" w:type="dxa"/>
            <w:vAlign w:val="bottom"/>
          </w:tcPr>
          <w:p>
            <w:pPr>
              <w:ind w:left="4260"/>
              <w:spacing w:after="0"/>
              <w:rPr>
                <w:sz w:val="20"/>
                <w:szCs w:val="20"/>
                <w:color w:val="auto"/>
              </w:rPr>
            </w:pPr>
            <w:r>
              <w:rPr>
                <w:rFonts w:ascii="Arial" w:cs="Arial" w:eastAsia="Arial" w:hAnsi="Arial"/>
                <w:sz w:val="16"/>
                <w:szCs w:val="16"/>
                <w:color w:val="auto"/>
              </w:rPr>
              <w:t>Netherlands</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Bangladesh Limited*</w:t>
            </w:r>
          </w:p>
        </w:tc>
        <w:tc>
          <w:tcPr>
            <w:tcW w:w="7060" w:type="dxa"/>
            <w:vAlign w:val="bottom"/>
          </w:tcPr>
          <w:p>
            <w:pPr>
              <w:ind w:left="4260"/>
              <w:spacing w:after="0"/>
              <w:rPr>
                <w:sz w:val="20"/>
                <w:szCs w:val="20"/>
                <w:color w:val="auto"/>
              </w:rPr>
            </w:pPr>
            <w:r>
              <w:rPr>
                <w:rFonts w:ascii="Arial" w:cs="Arial" w:eastAsia="Arial" w:hAnsi="Arial"/>
                <w:sz w:val="16"/>
                <w:szCs w:val="16"/>
                <w:color w:val="auto"/>
              </w:rPr>
              <w:t>Bangladesh</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Bio-Sciences, S.A.U.</w:t>
            </w:r>
          </w:p>
        </w:tc>
        <w:tc>
          <w:tcPr>
            <w:tcW w:w="7060" w:type="dxa"/>
            <w:vAlign w:val="bottom"/>
          </w:tcPr>
          <w:p>
            <w:pPr>
              <w:ind w:left="4260"/>
              <w:spacing w:after="0"/>
              <w:rPr>
                <w:sz w:val="20"/>
                <w:szCs w:val="20"/>
                <w:color w:val="auto"/>
              </w:rPr>
            </w:pPr>
            <w:r>
              <w:rPr>
                <w:rFonts w:ascii="Arial" w:cs="Arial" w:eastAsia="Arial" w:hAnsi="Arial"/>
                <w:sz w:val="16"/>
                <w:szCs w:val="16"/>
                <w:color w:val="auto"/>
              </w:rPr>
              <w:t>Spain</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Buchler GmbH</w:t>
            </w:r>
          </w:p>
        </w:tc>
        <w:tc>
          <w:tcPr>
            <w:tcW w:w="7060" w:type="dxa"/>
            <w:vAlign w:val="bottom"/>
          </w:tcPr>
          <w:p>
            <w:pPr>
              <w:ind w:left="426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Buchler GmbH &amp; Co. KG</w:t>
            </w:r>
          </w:p>
        </w:tc>
        <w:tc>
          <w:tcPr>
            <w:tcW w:w="7060" w:type="dxa"/>
            <w:vAlign w:val="bottom"/>
          </w:tcPr>
          <w:p>
            <w:pPr>
              <w:ind w:left="4260"/>
              <w:spacing w:after="0"/>
              <w:rPr>
                <w:sz w:val="20"/>
                <w:szCs w:val="20"/>
                <w:color w:val="auto"/>
              </w:rPr>
            </w:pPr>
            <w:r>
              <w:rPr>
                <w:rFonts w:ascii="Arial" w:cs="Arial" w:eastAsia="Arial" w:hAnsi="Arial"/>
                <w:sz w:val="16"/>
                <w:szCs w:val="16"/>
                <w:color w:val="auto"/>
              </w:rPr>
              <w:t>Germany</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Bulgaria EOOD</w:t>
            </w:r>
          </w:p>
        </w:tc>
        <w:tc>
          <w:tcPr>
            <w:tcW w:w="7060" w:type="dxa"/>
            <w:vAlign w:val="bottom"/>
          </w:tcPr>
          <w:p>
            <w:pPr>
              <w:ind w:left="4260"/>
              <w:spacing w:after="0"/>
              <w:rPr>
                <w:sz w:val="20"/>
                <w:szCs w:val="20"/>
                <w:color w:val="auto"/>
              </w:rPr>
            </w:pPr>
            <w:r>
              <w:rPr>
                <w:rFonts w:ascii="Arial" w:cs="Arial" w:eastAsia="Arial" w:hAnsi="Arial"/>
                <w:sz w:val="16"/>
                <w:szCs w:val="16"/>
                <w:color w:val="auto"/>
              </w:rPr>
              <w:t>Bulgaria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BV</w:t>
            </w:r>
          </w:p>
        </w:tc>
        <w:tc>
          <w:tcPr>
            <w:tcW w:w="7060" w:type="dxa"/>
            <w:vAlign w:val="bottom"/>
          </w:tcPr>
          <w:p>
            <w:pPr>
              <w:ind w:left="4260"/>
              <w:spacing w:after="0"/>
              <w:rPr>
                <w:sz w:val="20"/>
                <w:szCs w:val="20"/>
                <w:color w:val="auto"/>
              </w:rPr>
            </w:pPr>
            <w:r>
              <w:rPr>
                <w:rFonts w:ascii="Arial" w:cs="Arial" w:eastAsia="Arial" w:hAnsi="Arial"/>
                <w:sz w:val="16"/>
                <w:szCs w:val="16"/>
                <w:color w:val="auto"/>
              </w:rPr>
              <w:t>Belgium</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Canada Financial Services Company</w:t>
            </w:r>
          </w:p>
        </w:tc>
        <w:tc>
          <w:tcPr>
            <w:tcW w:w="7060" w:type="dxa"/>
            <w:vAlign w:val="bottom"/>
          </w:tcPr>
          <w:p>
            <w:pPr>
              <w:ind w:left="426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Canada Holdings</w:t>
            </w:r>
          </w:p>
        </w:tc>
        <w:tc>
          <w:tcPr>
            <w:tcW w:w="7060" w:type="dxa"/>
            <w:vAlign w:val="bottom"/>
          </w:tcPr>
          <w:p>
            <w:pPr>
              <w:ind w:left="426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Canada Inc.</w:t>
            </w:r>
          </w:p>
        </w:tc>
        <w:tc>
          <w:tcPr>
            <w:tcW w:w="7060" w:type="dxa"/>
            <w:vAlign w:val="bottom"/>
          </w:tcPr>
          <w:p>
            <w:pPr>
              <w:ind w:left="426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Canada Investments Holdings</w:t>
            </w:r>
          </w:p>
        </w:tc>
        <w:tc>
          <w:tcPr>
            <w:tcW w:w="7060" w:type="dxa"/>
            <w:vAlign w:val="bottom"/>
          </w:tcPr>
          <w:p>
            <w:pPr>
              <w:ind w:left="426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Canada Property Inc.</w:t>
            </w:r>
          </w:p>
        </w:tc>
        <w:tc>
          <w:tcPr>
            <w:tcW w:w="7060" w:type="dxa"/>
            <w:vAlign w:val="bottom"/>
          </w:tcPr>
          <w:p>
            <w:pPr>
              <w:ind w:left="4260"/>
              <w:spacing w:after="0"/>
              <w:rPr>
                <w:sz w:val="20"/>
                <w:szCs w:val="20"/>
                <w:color w:val="auto"/>
              </w:rPr>
            </w:pPr>
            <w:r>
              <w:rPr>
                <w:rFonts w:ascii="Arial" w:cs="Arial" w:eastAsia="Arial" w:hAnsi="Arial"/>
                <w:sz w:val="16"/>
                <w:szCs w:val="16"/>
                <w:color w:val="auto"/>
              </w:rPr>
              <w:t>Canada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Caribbean Export LLC</w:t>
            </w:r>
          </w:p>
        </w:tc>
        <w:tc>
          <w:tcPr>
            <w:tcW w:w="7060" w:type="dxa"/>
            <w:vAlign w:val="bottom"/>
          </w:tcPr>
          <w:p>
            <w:pPr>
              <w:ind w:left="4260"/>
              <w:spacing w:after="0"/>
              <w:rPr>
                <w:sz w:val="20"/>
                <w:szCs w:val="20"/>
                <w:color w:val="auto"/>
              </w:rPr>
            </w:pPr>
            <w:r>
              <w:rPr>
                <w:rFonts w:ascii="Arial" w:cs="Arial" w:eastAsia="Arial" w:hAnsi="Arial"/>
                <w:sz w:val="16"/>
                <w:szCs w:val="16"/>
                <w:color w:val="auto"/>
              </w:rPr>
              <w:t>Delaware</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Česká republika,s.r.o</w:t>
            </w:r>
          </w:p>
        </w:tc>
        <w:tc>
          <w:tcPr>
            <w:tcW w:w="7060" w:type="dxa"/>
            <w:vAlign w:val="bottom"/>
          </w:tcPr>
          <w:p>
            <w:pPr>
              <w:ind w:left="4260"/>
              <w:spacing w:after="0"/>
              <w:rPr>
                <w:sz w:val="20"/>
                <w:szCs w:val="20"/>
                <w:color w:val="auto"/>
              </w:rPr>
            </w:pPr>
            <w:r>
              <w:rPr>
                <w:rFonts w:ascii="Arial" w:cs="Arial" w:eastAsia="Arial" w:hAnsi="Arial"/>
                <w:sz w:val="16"/>
                <w:szCs w:val="16"/>
                <w:color w:val="auto"/>
              </w:rPr>
              <w:t>Czech Republic</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Clinical Systems Norway AS</w:t>
            </w:r>
          </w:p>
        </w:tc>
        <w:tc>
          <w:tcPr>
            <w:tcW w:w="7060" w:type="dxa"/>
            <w:vAlign w:val="bottom"/>
          </w:tcPr>
          <w:p>
            <w:pPr>
              <w:ind w:left="4260"/>
              <w:spacing w:after="0"/>
              <w:rPr>
                <w:sz w:val="20"/>
                <w:szCs w:val="20"/>
                <w:color w:val="auto"/>
              </w:rPr>
            </w:pPr>
            <w:r>
              <w:rPr>
                <w:rFonts w:ascii="Arial" w:cs="Arial" w:eastAsia="Arial" w:hAnsi="Arial"/>
                <w:sz w:val="16"/>
                <w:szCs w:val="16"/>
                <w:color w:val="auto"/>
              </w:rPr>
              <w:t>Norway</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Colombia SAS</w:t>
            </w:r>
          </w:p>
        </w:tc>
        <w:tc>
          <w:tcPr>
            <w:tcW w:w="7060" w:type="dxa"/>
            <w:vAlign w:val="bottom"/>
          </w:tcPr>
          <w:p>
            <w:pPr>
              <w:ind w:left="4260"/>
              <w:spacing w:after="0"/>
              <w:rPr>
                <w:sz w:val="20"/>
                <w:szCs w:val="20"/>
                <w:color w:val="auto"/>
              </w:rPr>
            </w:pPr>
            <w:r>
              <w:rPr>
                <w:rFonts w:ascii="Arial" w:cs="Arial" w:eastAsia="Arial" w:hAnsi="Arial"/>
                <w:sz w:val="16"/>
                <w:szCs w:val="16"/>
                <w:color w:val="auto"/>
              </w:rPr>
              <w:t>Colombia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Cote d'Ivoire SARLU</w:t>
            </w:r>
          </w:p>
        </w:tc>
        <w:tc>
          <w:tcPr>
            <w:tcW w:w="7060" w:type="dxa"/>
            <w:vAlign w:val="bottom"/>
          </w:tcPr>
          <w:p>
            <w:pPr>
              <w:ind w:left="4260"/>
              <w:spacing w:after="0"/>
              <w:rPr>
                <w:sz w:val="20"/>
                <w:szCs w:val="20"/>
                <w:color w:val="auto"/>
              </w:rPr>
            </w:pPr>
            <w:r>
              <w:rPr>
                <w:rFonts w:ascii="Arial" w:cs="Arial" w:eastAsia="Arial" w:hAnsi="Arial"/>
                <w:sz w:val="16"/>
                <w:szCs w:val="16"/>
                <w:color w:val="auto"/>
              </w:rPr>
              <w:t>Cote D'Ivoire (Ivory Coast)</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d.o.o Beograd (Novi Beograd)</w:t>
            </w:r>
          </w:p>
        </w:tc>
        <w:tc>
          <w:tcPr>
            <w:tcW w:w="7060" w:type="dxa"/>
            <w:vAlign w:val="bottom"/>
          </w:tcPr>
          <w:p>
            <w:pPr>
              <w:ind w:left="4260"/>
              <w:spacing w:after="0"/>
              <w:rPr>
                <w:sz w:val="20"/>
                <w:szCs w:val="20"/>
                <w:color w:val="auto"/>
              </w:rPr>
            </w:pPr>
            <w:r>
              <w:rPr>
                <w:rFonts w:ascii="Arial" w:cs="Arial" w:eastAsia="Arial" w:hAnsi="Arial"/>
                <w:sz w:val="16"/>
                <w:szCs w:val="16"/>
                <w:color w:val="auto"/>
              </w:rPr>
              <w:t>Serbia</w:t>
            </w:r>
          </w:p>
        </w:tc>
        <w:tc>
          <w:tcPr>
            <w:tcW w:w="0" w:type="dxa"/>
            <w:vAlign w:val="bottom"/>
          </w:tcPr>
          <w:p>
            <w:pPr>
              <w:spacing w:after="0"/>
              <w:rPr>
                <w:sz w:val="1"/>
                <w:szCs w:val="1"/>
                <w:color w:val="auto"/>
              </w:rPr>
            </w:pPr>
          </w:p>
        </w:tc>
      </w:tr>
      <w:tr>
        <w:trPr>
          <w:trHeight w:val="216"/>
        </w:trPr>
        <w:tc>
          <w:tcPr>
            <w:tcW w:w="4140" w:type="dxa"/>
            <w:vAlign w:val="bottom"/>
          </w:tcPr>
          <w:p>
            <w:pPr>
              <w:ind w:left="20"/>
              <w:spacing w:after="0"/>
              <w:rPr>
                <w:sz w:val="20"/>
                <w:szCs w:val="20"/>
                <w:color w:val="auto"/>
              </w:rPr>
            </w:pPr>
            <w:r>
              <w:rPr>
                <w:rFonts w:ascii="Arial" w:cs="Arial" w:eastAsia="Arial" w:hAnsi="Arial"/>
                <w:sz w:val="16"/>
                <w:szCs w:val="16"/>
                <w:color w:val="auto"/>
              </w:rPr>
              <w:t>GE Healthcare Danmark A/S</w:t>
            </w:r>
          </w:p>
        </w:tc>
        <w:tc>
          <w:tcPr>
            <w:tcW w:w="7060" w:type="dxa"/>
            <w:vAlign w:val="bottom"/>
          </w:tcPr>
          <w:p>
            <w:pPr>
              <w:ind w:left="4260"/>
              <w:spacing w:after="0"/>
              <w:rPr>
                <w:sz w:val="20"/>
                <w:szCs w:val="20"/>
                <w:color w:val="auto"/>
              </w:rPr>
            </w:pPr>
            <w:r>
              <w:rPr>
                <w:rFonts w:ascii="Arial" w:cs="Arial" w:eastAsia="Arial" w:hAnsi="Arial"/>
                <w:sz w:val="16"/>
                <w:szCs w:val="16"/>
                <w:color w:val="auto"/>
              </w:rPr>
              <w:t>Denmark</w:t>
            </w:r>
          </w:p>
        </w:tc>
        <w:tc>
          <w:tcPr>
            <w:tcW w:w="0" w:type="dxa"/>
            <w:vAlign w:val="bottom"/>
          </w:tcPr>
          <w:p>
            <w:pPr>
              <w:spacing w:after="0"/>
              <w:rPr>
                <w:sz w:val="1"/>
                <w:szCs w:val="1"/>
                <w:color w:val="auto"/>
              </w:rPr>
            </w:pPr>
          </w:p>
        </w:tc>
      </w:tr>
    </w:tbl>
    <w:p>
      <w:pPr>
        <w:sectPr>
          <w:pgSz w:w="11900" w:h="16838" w:orient="portrait"/>
          <w:cols w:equalWidth="0" w:num="1">
            <w:col w:w="11220"/>
          </w:cols>
          <w:pgMar w:left="340" w:top="125" w:right="339" w:bottom="1440" w:gutter="0" w:footer="0" w:header="0"/>
        </w:sectPr>
      </w:pPr>
    </w:p>
    <w:bookmarkStart w:id="119" w:name="page120"/>
    <w:bookmarkEnd w:id="119"/>
    <w:p>
      <w:pPr>
        <w:spacing w:after="0"/>
        <w:rPr>
          <w:sz w:val="20"/>
          <w:szCs w:val="20"/>
          <w:color w:val="auto"/>
        </w:rPr>
      </w:pPr>
      <w:r>
        <w:rPr>
          <w:rFonts w:ascii="Arial" w:cs="Arial" w:eastAsia="Arial" w:hAnsi="Arial"/>
          <w:sz w:val="16"/>
          <w:szCs w:val="16"/>
          <w:color w:val="auto"/>
        </w:rPr>
        <w:t>GE Healthcare del Peru S.A.C.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do Brasil Comercio e Servicos para Equipamentos Medico-Hospitalares Ltda.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Equipment Finance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Estonia OU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Europe Holding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Finance Leasing (China)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Financial Markets US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Financial Services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Financial Services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Financial Services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Finland Oy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Funding Ireland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FZE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Global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Global Parts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Global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Handels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Germany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Norge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Holdings Austria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IITS USA Corp.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Imaging Holding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Industrial 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Information Technologies GmbH &amp; Co. KG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International Benelux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International Japan Investments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International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Investment (China)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Italia Holding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IVD (Netherlands)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Japan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Japan Investments Cooperatief U.A.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Kazakhstan LLP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Kenya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Korea,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Magyarorszag Kft.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Manufacturing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Mauritius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Medical Technology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Norge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Norway Holding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Nova Scotia #1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Nova Scotia #2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Oy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Pakistan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PC Nova Scotia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Peru</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Brazil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Estonia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Arab Emirates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Austria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Vermont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Netherlands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Kazakhstan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Kenya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Korea, Republic Of (South)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New Zealand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Hungary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Mauritius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Pakistan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ectPr>
          <w:pgSz w:w="11900" w:h="16838" w:orient="portrait"/>
          <w:cols w:equalWidth="0" w:num="2">
            <w:col w:w="7660" w:space="720"/>
            <w:col w:w="1940"/>
          </w:cols>
          <w:pgMar w:left="360" w:top="1003" w:right="1219" w:bottom="1440" w:gutter="0" w:footer="0" w:header="0"/>
        </w:sectPr>
      </w:pPr>
    </w:p>
    <w:bookmarkStart w:id="120" w:name="page121"/>
    <w:bookmarkEnd w:id="120"/>
    <w:p>
      <w:pPr>
        <w:spacing w:after="0"/>
        <w:rPr>
          <w:sz w:val="20"/>
          <w:szCs w:val="20"/>
          <w:color w:val="auto"/>
        </w:rPr>
      </w:pPr>
      <w:r>
        <w:rPr>
          <w:rFonts w:ascii="Arial" w:cs="Arial" w:eastAsia="Arial" w:hAnsi="Arial"/>
          <w:sz w:val="16"/>
          <w:szCs w:val="16"/>
          <w:color w:val="auto"/>
        </w:rPr>
        <w:t>GE Healthcare Pension Trustee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Pharma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Pharma Limited Liability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Pharmaceutical Diagnostics Holding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PHARMACEUTICAL, COMMERCIAL AND INDUSTRIAL SOCIETE ANONYME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Philippines,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Regional Head Quarters Single Person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Research and Development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Sdn Bhd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Services Italy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Slovensko, s.r.o.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Structured Projects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Sverige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Canada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France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Holding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Technologies Pacific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Trade and Development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Transnational Holdings,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Treasury Services Unlimited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Tunisia SARL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UK Holdings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UK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Ukraine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Unidad Central de Radiofarmacia de Galicia, S.L.*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USA Holding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Ventures Investment (Hangzhou)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Ventures Investment Management (Hangzhou)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VFS Canada Limited Partnership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Vietnam Company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HFS,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Lighting Philippines,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for Trading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Holding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(China)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(Schweiz) AG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(Thailand)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Egypt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Hong Kong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Information Technologies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Information Technologies,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Ireland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Israel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Italia SpA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Monterrey-Mexico,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Polska Sp. z o.o.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Societe en Commandite Simple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South Africa (Pty)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Greece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Malaysia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Slovakia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Tunisia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Ukraine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Vietnam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Philippines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Switzerland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Thailand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Hong Kong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Wisconsin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Ireland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Italy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South Africa</w:t>
      </w:r>
    </w:p>
    <w:p>
      <w:pPr>
        <w:sectPr>
          <w:pgSz w:w="11900" w:h="16838" w:orient="portrait"/>
          <w:cols w:equalWidth="0" w:num="2">
            <w:col w:w="7660" w:space="720"/>
            <w:col w:w="1719"/>
          </w:cols>
          <w:pgMar w:left="360" w:top="1003" w:right="1440" w:bottom="1440" w:gutter="0" w:footer="0" w:header="0"/>
        </w:sectPr>
      </w:pPr>
    </w:p>
    <w:bookmarkStart w:id="121" w:name="page122"/>
    <w:bookmarkEnd w:id="121"/>
    <w:p>
      <w:pPr>
        <w:spacing w:after="0"/>
        <w:rPr>
          <w:sz w:val="20"/>
          <w:szCs w:val="20"/>
          <w:color w:val="auto"/>
        </w:rPr>
      </w:pPr>
      <w:r>
        <w:rPr>
          <w:rFonts w:ascii="Arial" w:cs="Arial" w:eastAsia="Arial" w:hAnsi="Arial"/>
          <w:sz w:val="16"/>
          <w:szCs w:val="16"/>
          <w:color w:val="auto"/>
        </w:rPr>
        <w:t>GE Medical Systems Sweden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Taiwan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Trade and Development (Shanghai)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Turkiye Limited Sirketi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Systems, Ultrasound &amp; Primary Care Diagnostics,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Medical Technologies Nigeria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Middle East Healthcare Services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Parallel Design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Precision Healthcare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Sistemas Medicos de Mexico, SA de CV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Ultrasound Korea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Vingmed Ultrasound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GEFM Edinburgh I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GEMS PET Systems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Arabia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Espana, SA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Lanka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Healthcare Portugal, Sociedade Unipessoal, Lda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Medical Systems Middle East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Electric Medical Systems Romania S.r.l.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Gold Seal Renewable Resources (Tianjin)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icometrix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Icometrix N.V.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IDX Systems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Imactis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Instrumentarium Holdings,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Intelligent Ultrasound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Kiinteisto Oy Puustellintie 3</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Kiinteisto Oy Teollisuuskatu 29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Limited Liability Company GE Healthcare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Medi-Physics,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MIM Software Beijing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MIM Software Brussels BV</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MIM Software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Nihon Medi-Physics Co.,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NMP Business Support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OEC Medical Systems,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GE Healthcare UK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OY GE Healthcare Bio-Sciences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Parallel Design 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PRECISION HEALTHCARE TREASURY APAC PTE.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Prismatic Sensors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 GE Lighting 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PT GE Operations 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Radiopharma Braunschweig Management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Radiopharma Braunschweig Manufacturing GmbH &amp; Co. KG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Research Circle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SATIS - Radioisotopos e Proteccoes contra Sobretensoes Electricas, Lda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American General Electric Company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Schleifring Medical Systems,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Sound Technology,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Spectronic Medical AB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Radiochemical Centre GmbH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Ultrasonix Medical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Taiwan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Turkey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Nigeria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Jordan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Mexico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Korea, Republic Of (South)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Spain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Sri Lanka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Egypt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Romania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Vermont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Russia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Belgium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Ohio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Japan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Finland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Indonesia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Portugal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Saudi Arabia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Pennsylvania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Sweden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Germany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ectPr>
          <w:pgSz w:w="11900" w:h="16838" w:orient="portrait"/>
          <w:cols w:equalWidth="0" w:num="2">
            <w:col w:w="7660" w:space="720"/>
            <w:col w:w="1940"/>
          </w:cols>
          <w:pgMar w:left="360" w:top="1003" w:right="1219" w:bottom="144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USA Instruments,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U-Systems,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VersaMed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VersaMed Medical Systems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Whatman Asia Pacific Private Ltd.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Wipro GE Healthcare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Wipro GE Medical Device Manufacturing Private Limited*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 HEALTHCARE TKT" LLC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3238273 Nova Scotia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Ohio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Israel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Singapore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Uzbekistan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Canada</w:t>
      </w:r>
    </w:p>
    <w:p>
      <w:pPr>
        <w:spacing w:after="0" w:line="200" w:lineRule="exact"/>
        <w:rPr>
          <w:sz w:val="20"/>
          <w:szCs w:val="20"/>
          <w:color w:val="auto"/>
        </w:rPr>
      </w:pPr>
    </w:p>
    <w:p>
      <w:pPr>
        <w:sectPr>
          <w:pgSz w:w="11900" w:h="16838" w:orient="portrait"/>
          <w:cols w:equalWidth="0" w:num="2">
            <w:col w:w="7660" w:space="720"/>
            <w:col w:w="1719"/>
          </w:cols>
          <w:pgMar w:left="360" w:top="1003" w:right="1440" w:bottom="1440" w:gutter="0" w:footer="0" w:header="0"/>
        </w:sectPr>
      </w:pPr>
    </w:p>
    <w:p>
      <w:pPr>
        <w:spacing w:after="0" w:line="386" w:lineRule="exact"/>
        <w:rPr>
          <w:sz w:val="20"/>
          <w:szCs w:val="20"/>
          <w:color w:val="auto"/>
        </w:rPr>
      </w:pPr>
    </w:p>
    <w:p>
      <w:pPr>
        <w:jc w:val="right"/>
        <w:ind w:right="479"/>
        <w:spacing w:after="0"/>
        <w:rPr>
          <w:sz w:val="20"/>
          <w:szCs w:val="20"/>
          <w:color w:val="auto"/>
        </w:rPr>
      </w:pPr>
      <w:r>
        <w:rPr>
          <w:rFonts w:ascii="Arial" w:cs="Arial" w:eastAsia="Arial" w:hAnsi="Arial"/>
          <w:sz w:val="16"/>
          <w:szCs w:val="16"/>
          <w:i w:val="1"/>
          <w:iCs w:val="1"/>
          <w:color w:val="auto"/>
        </w:rPr>
        <w:t>Where ownership is less than 100% by GE HealthCare Technologies Inc. such has been noted by an asterisk (*)</w:t>
      </w:r>
      <w:r>
        <w:rPr>
          <w:rFonts w:ascii="Arial" w:cs="Arial" w:eastAsia="Arial" w:hAnsi="Arial"/>
          <w:sz w:val="16"/>
          <w:szCs w:val="16"/>
          <w:color w:val="auto"/>
        </w:rPr>
        <w:t>.</w:t>
      </w:r>
    </w:p>
    <w:p>
      <w:pPr>
        <w:sectPr>
          <w:pgSz w:w="11900" w:h="16838" w:orient="portrait"/>
          <w:cols w:equalWidth="0" w:num="1">
            <w:col w:w="10099"/>
          </w:cols>
          <w:pgMar w:left="360" w:top="1003" w:right="1440"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62" w:lineRule="exact"/>
        <w:rPr>
          <w:sz w:val="20"/>
          <w:szCs w:val="20"/>
          <w:color w:val="auto"/>
        </w:rPr>
      </w:pPr>
    </w:p>
    <w:p>
      <w:pPr>
        <w:jc w:val="both"/>
        <w:ind w:right="300"/>
        <w:spacing w:after="0" w:line="265" w:lineRule="auto"/>
        <w:rPr>
          <w:sz w:val="20"/>
          <w:szCs w:val="20"/>
          <w:color w:val="auto"/>
        </w:rPr>
      </w:pPr>
      <w:r>
        <w:rPr>
          <w:rFonts w:ascii="Arial" w:cs="Arial" w:eastAsia="Arial" w:hAnsi="Arial"/>
          <w:sz w:val="16"/>
          <w:szCs w:val="16"/>
          <w:color w:val="auto"/>
        </w:rPr>
        <w:t>We consent to the incorporation by reference in Registration Statement Nos. 333-276994 and 333-280584 on Form S-3 and Registration Statement Nos. 333-269047 and 333-269784 on Form S-8 of our reports dated February 4, 2026, relating to the financial statements of GE HealthCare Technologies Inc. and the effectiveness of GE HealthCare Technologies Inc.'s internal control over financial reporting appearing in this Annual Report on Form 10-K for the year ended December 31, 2025.</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Deloitte &amp; Touche LLP</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Chicago, Illinois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February 4, 2026</w:t>
      </w:r>
    </w:p>
    <w:p>
      <w:pPr>
        <w:sectPr>
          <w:pgSz w:w="11900" w:h="16838" w:orient="portrait"/>
          <w:cols w:equalWidth="0" w:num="1">
            <w:col w:w="11240"/>
          </w:cols>
          <w:pgMar w:left="320" w:top="12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Peter J. Arduini, certify that:</w:t>
      </w:r>
    </w:p>
    <w:p>
      <w:pPr>
        <w:spacing w:after="0" w:line="248" w:lineRule="exact"/>
        <w:rPr>
          <w:sz w:val="20"/>
          <w:szCs w:val="20"/>
          <w:color w:val="auto"/>
        </w:rPr>
      </w:pPr>
    </w:p>
    <w:p>
      <w:pPr>
        <w:ind w:left="660" w:hanging="652"/>
        <w:spacing w:after="0"/>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7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4, 2026</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9">
                      <a:extLst>
                        <a:ext uri="{28A0092B-C50C-407E-A947-70E740481C1C}"/>
                      </a:extLst>
                    </a:blip>
                    <a:srcRect/>
                    <a:stretch>
                      <a:fillRect/>
                    </a:stretch>
                  </pic:blipFill>
                  <pic:spPr bwMode="auto">
                    <a:xfrm>
                      <a:off x="0" y="0"/>
                      <a:ext cx="3745865"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12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38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or 15d-14(a) under the Securities Exchange Act of 1934, as Amended</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I, James K. Saccaro, certify that:</w:t>
      </w:r>
    </w:p>
    <w:p>
      <w:pPr>
        <w:spacing w:after="0" w:line="248"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GE HealthCare Technologies Inc.;</w:t>
      </w:r>
    </w:p>
    <w:p>
      <w:pPr>
        <w:spacing w:after="0" w:line="126" w:lineRule="exact"/>
        <w:rPr>
          <w:rFonts w:ascii="Arial" w:cs="Arial" w:eastAsia="Arial" w:hAnsi="Arial"/>
          <w:sz w:val="16"/>
          <w:szCs w:val="16"/>
          <w:color w:val="auto"/>
        </w:rPr>
      </w:pPr>
    </w:p>
    <w:p>
      <w:pPr>
        <w:jc w:val="both"/>
        <w:ind w:left="660" w:right="120" w:hanging="652"/>
        <w:spacing w:after="0" w:line="266"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6" w:lineRule="exact"/>
        <w:rPr>
          <w:rFonts w:ascii="Arial" w:cs="Arial" w:eastAsia="Arial" w:hAnsi="Arial"/>
          <w:sz w:val="16"/>
          <w:szCs w:val="16"/>
          <w:color w:val="auto"/>
        </w:rPr>
      </w:pPr>
    </w:p>
    <w:p>
      <w:pPr>
        <w:ind w:left="660" w:right="240" w:hanging="652"/>
        <w:spacing w:after="0" w:line="286"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6"/>
          <w:szCs w:val="16"/>
          <w:color w:val="auto"/>
        </w:rPr>
      </w:pPr>
    </w:p>
    <w:p>
      <w:pPr>
        <w:ind w:left="660" w:right="240" w:hanging="652"/>
        <w:spacing w:after="0" w:line="266"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rFonts w:ascii="Arial" w:cs="Arial" w:eastAsia="Arial" w:hAnsi="Arial"/>
          <w:sz w:val="16"/>
          <w:szCs w:val="16"/>
          <w:color w:val="auto"/>
        </w:rPr>
      </w:pPr>
    </w:p>
    <w:p>
      <w:pPr>
        <w:ind w:left="1300" w:right="240" w:hanging="644"/>
        <w:spacing w:after="0" w:line="266" w:lineRule="auto"/>
        <w:tabs>
          <w:tab w:leader="none" w:pos="1295"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300" w:right="160" w:hanging="644"/>
        <w:spacing w:after="0" w:line="275" w:lineRule="auto"/>
        <w:tabs>
          <w:tab w:leader="none" w:pos="1295" w:val="left"/>
        </w:tabs>
        <w:numPr>
          <w:ilvl w:val="1"/>
          <w:numId w:val="7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jc w:val="both"/>
        <w:ind w:left="1300" w:right="160" w:hanging="644"/>
        <w:spacing w:after="0" w:line="286" w:lineRule="auto"/>
        <w:tabs>
          <w:tab w:leader="none" w:pos="13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1" w:lineRule="exact"/>
        <w:rPr>
          <w:rFonts w:ascii="Arial" w:cs="Arial" w:eastAsia="Arial" w:hAnsi="Arial"/>
          <w:sz w:val="16"/>
          <w:szCs w:val="16"/>
          <w:color w:val="auto"/>
        </w:rPr>
      </w:pPr>
    </w:p>
    <w:p>
      <w:pPr>
        <w:ind w:left="1300" w:right="20" w:hanging="644"/>
        <w:spacing w:after="0" w:line="275" w:lineRule="auto"/>
        <w:tabs>
          <w:tab w:leader="none" w:pos="1295" w:val="left"/>
        </w:tabs>
        <w:numPr>
          <w:ilvl w:val="1"/>
          <w:numId w:val="7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6" w:lineRule="exact"/>
        <w:rPr>
          <w:rFonts w:ascii="Arial" w:cs="Arial" w:eastAsia="Arial" w:hAnsi="Arial"/>
          <w:sz w:val="16"/>
          <w:szCs w:val="16"/>
          <w:color w:val="auto"/>
        </w:rPr>
      </w:pPr>
    </w:p>
    <w:p>
      <w:pPr>
        <w:ind w:left="660" w:right="180" w:hanging="652"/>
        <w:spacing w:after="0" w:line="286" w:lineRule="auto"/>
        <w:tabs>
          <w:tab w:leader="none" w:pos="6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1" w:lineRule="exact"/>
        <w:rPr>
          <w:rFonts w:ascii="Arial" w:cs="Arial" w:eastAsia="Arial" w:hAnsi="Arial"/>
          <w:sz w:val="16"/>
          <w:szCs w:val="16"/>
          <w:color w:val="auto"/>
        </w:rPr>
      </w:pPr>
    </w:p>
    <w:p>
      <w:pPr>
        <w:ind w:left="1300" w:right="640" w:hanging="644"/>
        <w:spacing w:after="0" w:line="286" w:lineRule="auto"/>
        <w:tabs>
          <w:tab w:leader="none" w:pos="1295"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6"/>
          <w:szCs w:val="16"/>
          <w:color w:val="auto"/>
        </w:rPr>
      </w:pPr>
    </w:p>
    <w:p>
      <w:pPr>
        <w:ind w:left="1300" w:right="280" w:hanging="644"/>
        <w:spacing w:after="0" w:line="286" w:lineRule="auto"/>
        <w:tabs>
          <w:tab w:leader="none" w:pos="1295" w:val="left"/>
        </w:tabs>
        <w:numPr>
          <w:ilvl w:val="1"/>
          <w:numId w:val="7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Date: February 4, 2026</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0">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p>
      <w:pPr>
        <w:sectPr>
          <w:pgSz w:w="11900" w:h="16838" w:orient="portrait"/>
          <w:cols w:equalWidth="0" w:num="1">
            <w:col w:w="11240"/>
          </w:cols>
          <w:pgMar w:left="320" w:top="12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700"/>
        <w:spacing w:after="0"/>
        <w:rPr>
          <w:sz w:val="20"/>
          <w:szCs w:val="20"/>
          <w:color w:val="auto"/>
        </w:rPr>
      </w:pPr>
      <w:r>
        <w:rPr>
          <w:rFonts w:ascii="Arial" w:cs="Arial" w:eastAsia="Arial" w:hAnsi="Arial"/>
          <w:sz w:val="16"/>
          <w:szCs w:val="16"/>
          <w:b w:val="1"/>
          <w:bCs w:val="1"/>
          <w:color w:val="auto"/>
        </w:rPr>
        <w:t>Certification Pursuant to</w:t>
      </w:r>
    </w:p>
    <w:p>
      <w:pPr>
        <w:spacing w:after="0" w:line="35" w:lineRule="exact"/>
        <w:rPr>
          <w:sz w:val="20"/>
          <w:szCs w:val="20"/>
          <w:color w:val="auto"/>
        </w:rPr>
      </w:pPr>
    </w:p>
    <w:p>
      <w:pPr>
        <w:jc w:val="right"/>
        <w:ind w:right="4740"/>
        <w:spacing w:after="0"/>
        <w:rPr>
          <w:sz w:val="20"/>
          <w:szCs w:val="20"/>
          <w:color w:val="auto"/>
        </w:rPr>
      </w:pPr>
      <w:r>
        <w:rPr>
          <w:rFonts w:ascii="Arial" w:cs="Arial" w:eastAsia="Arial" w:hAnsi="Arial"/>
          <w:sz w:val="16"/>
          <w:szCs w:val="16"/>
          <w:b w:val="1"/>
          <w:bCs w:val="1"/>
          <w:color w:val="auto"/>
        </w:rPr>
        <w:t>18 U.S.C. Section 1350</w:t>
      </w:r>
    </w:p>
    <w:p>
      <w:pPr>
        <w:spacing w:after="0" w:line="200" w:lineRule="exact"/>
        <w:rPr>
          <w:sz w:val="20"/>
          <w:szCs w:val="20"/>
          <w:color w:val="auto"/>
        </w:rPr>
      </w:pPr>
    </w:p>
    <w:p>
      <w:pPr>
        <w:spacing w:after="0" w:line="316"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In connection with the Annual Report of GE HealthCare Technologies Inc. (the “registrant”) on Form 10-K for the period ended December 31, 2025, as filed with the Securities and Exchange Commission on the date hereof (the “report”), we, Peter J. Arduini and James K. Saccaro, President &amp; Chief Executive Officer and Vice President &amp; Chief Financial Officer, respectively, of the registrant, certify, pursuant to 18 U.S.C. § 1350, that to our knowledge:</w:t>
      </w:r>
    </w:p>
    <w:p>
      <w:pPr>
        <w:spacing w:after="0" w:line="178"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660" w:hanging="652"/>
        <w:spacing w:after="0"/>
        <w:tabs>
          <w:tab w:leader="none" w:pos="6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February 4, 2026</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458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1">
                      <a:extLst>
                        <a:ext uri="{28A0092B-C50C-407E-A947-70E740481C1C}"/>
                      </a:extLst>
                    </a:blip>
                    <a:srcRect/>
                    <a:stretch>
                      <a:fillRect/>
                    </a:stretch>
                  </pic:blipFill>
                  <pic:spPr bwMode="auto">
                    <a:xfrm>
                      <a:off x="0" y="0"/>
                      <a:ext cx="374586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Peter J. Arduini</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President &amp; Chief Executive Officer</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James K. Saccaro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37376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2">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James K. Saccaro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Vice President &amp; Chief Financial Officer</w:t>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EAD36B"/>
    <w:multiLevelType w:val="hybridMultilevel"/>
    <w:lvl w:ilvl="0">
      <w:lvlJc w:val="left"/>
      <w:lvlText w:val="☑"/>
      <w:numFmt w:val="bullet"/>
      <w:start w:val="1"/>
    </w:lvl>
  </w:abstractNum>
  <w:abstractNum w:abstractNumId="1">
    <w:nsid w:val="2D517796"/>
    <w:multiLevelType w:val="hybridMultilevel"/>
    <w:lvl w:ilvl="0">
      <w:lvlJc w:val="left"/>
      <w:lvlText w:val="•"/>
      <w:numFmt w:val="bullet"/>
      <w:start w:val="1"/>
    </w:lvl>
  </w:abstractNum>
  <w:abstractNum w:abstractNumId="2">
    <w:nsid w:val="580BD78F"/>
    <w:multiLevelType w:val="hybridMultilevel"/>
    <w:lvl w:ilvl="0">
      <w:lvlJc w:val="left"/>
      <w:lvlText w:val="•"/>
      <w:numFmt w:val="bullet"/>
      <w:start w:val="1"/>
    </w:lvl>
  </w:abstractNum>
  <w:abstractNum w:abstractNumId="3">
    <w:nsid w:val="153EA438"/>
    <w:multiLevelType w:val="hybridMultilevel"/>
    <w:lvl w:ilvl="0">
      <w:lvlJc w:val="left"/>
      <w:lvlText w:val="•"/>
      <w:numFmt w:val="bullet"/>
      <w:start w:val="1"/>
    </w:lvl>
  </w:abstractNum>
  <w:abstractNum w:abstractNumId="4">
    <w:nsid w:val="3855585C"/>
    <w:multiLevelType w:val="hybridMultilevel"/>
    <w:lvl w:ilvl="0">
      <w:lvlJc w:val="left"/>
      <w:lvlText w:val="•"/>
      <w:numFmt w:val="bullet"/>
      <w:start w:val="1"/>
    </w:lvl>
  </w:abstractNum>
  <w:abstractNum w:abstractNumId="5">
    <w:nsid w:val="70A64E2A"/>
    <w:multiLevelType w:val="hybridMultilevel"/>
    <w:lvl w:ilvl="0">
      <w:lvlJc w:val="left"/>
      <w:lvlText w:val="•"/>
      <w:numFmt w:val="bullet"/>
      <w:start w:val="1"/>
    </w:lvl>
  </w:abstractNum>
  <w:abstractNum w:abstractNumId="6">
    <w:nsid w:val="6A2342EC"/>
    <w:multiLevelType w:val="hybridMultilevel"/>
    <w:lvl w:ilvl="0">
      <w:lvlJc w:val="left"/>
      <w:lvlText w:val="•"/>
      <w:numFmt w:val="bullet"/>
      <w:start w:val="1"/>
    </w:lvl>
  </w:abstractNum>
  <w:abstractNum w:abstractNumId="7">
    <w:nsid w:val="2A487CB0"/>
    <w:multiLevelType w:val="hybridMultilevel"/>
    <w:lvl w:ilvl="0">
      <w:lvlJc w:val="left"/>
      <w:lvlText w:val="•"/>
      <w:numFmt w:val="bullet"/>
      <w:start w:val="1"/>
    </w:lvl>
    <w:lvl w:ilvl="1">
      <w:lvlJc w:val="left"/>
      <w:lvlText w:val="•"/>
      <w:numFmt w:val="bullet"/>
      <w:start w:val="1"/>
    </w:lvl>
  </w:abstractNum>
  <w:abstractNum w:abstractNumId="8">
    <w:nsid w:val="1D4ED43B"/>
    <w:multiLevelType w:val="hybridMultilevel"/>
    <w:lvl w:ilvl="0">
      <w:lvlJc w:val="left"/>
      <w:lvlText w:val="•"/>
      <w:numFmt w:val="bullet"/>
      <w:start w:val="1"/>
    </w:lvl>
  </w:abstractNum>
  <w:abstractNum w:abstractNumId="9">
    <w:nsid w:val="725A06FB"/>
    <w:multiLevelType w:val="hybridMultilevel"/>
    <w:lvl w:ilvl="0">
      <w:lvlJc w:val="left"/>
      <w:lvlText w:val="•"/>
      <w:numFmt w:val="bullet"/>
      <w:start w:val="1"/>
    </w:lvl>
  </w:abstractNum>
  <w:abstractNum w:abstractNumId="10">
    <w:nsid w:val="2CD89A32"/>
    <w:multiLevelType w:val="hybridMultilevel"/>
    <w:lvl w:ilvl="0">
      <w:lvlJc w:val="left"/>
      <w:lvlText w:val="•"/>
      <w:numFmt w:val="bullet"/>
      <w:start w:val="1"/>
    </w:lvl>
  </w:abstractNum>
  <w:abstractNum w:abstractNumId="11">
    <w:nsid w:val="57E4CCAF"/>
    <w:multiLevelType w:val="hybridMultilevel"/>
    <w:lvl w:ilvl="0">
      <w:lvlJc w:val="left"/>
      <w:lvlText w:val="•"/>
      <w:numFmt w:val="bullet"/>
      <w:start w:val="1"/>
    </w:lvl>
  </w:abstractNum>
  <w:abstractNum w:abstractNumId="12">
    <w:nsid w:val="7A6D8D3C"/>
    <w:multiLevelType w:val="hybridMultilevel"/>
    <w:lvl w:ilvl="0">
      <w:lvlJc w:val="left"/>
      <w:lvlText w:val="•"/>
      <w:numFmt w:val="bullet"/>
      <w:start w:val="1"/>
    </w:lvl>
  </w:abstractNum>
  <w:abstractNum w:abstractNumId="13">
    <w:nsid w:val="4B588F54"/>
    <w:multiLevelType w:val="hybridMultilevel"/>
    <w:lvl w:ilvl="0">
      <w:lvlJc w:val="left"/>
      <w:lvlText w:val="•"/>
      <w:numFmt w:val="bullet"/>
      <w:start w:val="1"/>
    </w:lvl>
  </w:abstractNum>
  <w:abstractNum w:abstractNumId="14">
    <w:nsid w:val="542289EC"/>
    <w:multiLevelType w:val="hybridMultilevel"/>
    <w:lvl w:ilvl="0">
      <w:lvlJc w:val="left"/>
      <w:lvlText w:val="•"/>
      <w:numFmt w:val="bullet"/>
      <w:start w:val="1"/>
    </w:lvl>
  </w:abstractNum>
  <w:abstractNum w:abstractNumId="15">
    <w:nsid w:val="6DE91B18"/>
    <w:multiLevelType w:val="hybridMultilevel"/>
    <w:lvl w:ilvl="0">
      <w:lvlJc w:val="left"/>
      <w:lvlText w:val="•"/>
      <w:numFmt w:val="bullet"/>
      <w:start w:val="1"/>
    </w:lvl>
  </w:abstractNum>
  <w:abstractNum w:abstractNumId="16">
    <w:nsid w:val="38437FDB"/>
    <w:multiLevelType w:val="hybridMultilevel"/>
    <w:lvl w:ilvl="0">
      <w:lvlJc w:val="left"/>
      <w:lvlText w:val="•"/>
      <w:numFmt w:val="bullet"/>
      <w:start w:val="1"/>
    </w:lvl>
  </w:abstractNum>
  <w:abstractNum w:abstractNumId="17">
    <w:nsid w:val="7644A45C"/>
    <w:multiLevelType w:val="hybridMultilevel"/>
    <w:lvl w:ilvl="0">
      <w:lvlJc w:val="left"/>
      <w:lvlText w:val="(%1)"/>
      <w:numFmt w:val="decimal"/>
      <w:start w:val="3"/>
    </w:lvl>
  </w:abstractNum>
  <w:abstractNum w:abstractNumId="18">
    <w:nsid w:val="32FFF902"/>
    <w:multiLevelType w:val="hybridMultilevel"/>
    <w:lvl w:ilvl="0">
      <w:lvlJc w:val="left"/>
      <w:lvlText w:val="•"/>
      <w:numFmt w:val="bullet"/>
      <w:start w:val="1"/>
    </w:lvl>
  </w:abstractNum>
  <w:abstractNum w:abstractNumId="19">
    <w:nsid w:val="684A481A"/>
    <w:multiLevelType w:val="hybridMultilevel"/>
    <w:lvl w:ilvl="0">
      <w:lvlJc w:val="left"/>
      <w:lvlText w:val="(%1)"/>
      <w:numFmt w:val="decimal"/>
      <w:start w:val="1"/>
    </w:lvl>
  </w:abstractNum>
  <w:abstractNum w:abstractNumId="20">
    <w:nsid w:val="579478FE"/>
    <w:multiLevelType w:val="hybridMultilevel"/>
    <w:lvl w:ilvl="0">
      <w:lvlJc w:val="left"/>
      <w:lvlText w:val="•"/>
      <w:numFmt w:val="bullet"/>
      <w:start w:val="1"/>
    </w:lvl>
  </w:abstractNum>
  <w:abstractNum w:abstractNumId="21">
    <w:nsid w:val="749ABB43"/>
    <w:multiLevelType w:val="hybridMultilevel"/>
    <w:lvl w:ilvl="0">
      <w:lvlJc w:val="left"/>
      <w:lvlText w:val="•"/>
      <w:numFmt w:val="bullet"/>
      <w:start w:val="1"/>
    </w:lvl>
  </w:abstractNum>
  <w:abstractNum w:abstractNumId="22">
    <w:nsid w:val="3DC240FB"/>
    <w:multiLevelType w:val="hybridMultilevel"/>
    <w:lvl w:ilvl="0">
      <w:lvlJc w:val="left"/>
      <w:lvlText w:val="•"/>
      <w:numFmt w:val="bullet"/>
      <w:start w:val="1"/>
    </w:lvl>
  </w:abstractNum>
  <w:abstractNum w:abstractNumId="23">
    <w:nsid w:val="1BA026FA"/>
    <w:multiLevelType w:val="hybridMultilevel"/>
    <w:lvl w:ilvl="0">
      <w:lvlJc w:val="left"/>
      <w:lvlText w:val="•"/>
      <w:numFmt w:val="bullet"/>
      <w:start w:val="1"/>
    </w:lvl>
  </w:abstractNum>
  <w:abstractNum w:abstractNumId="24">
    <w:nsid w:val="79A1DEAA"/>
    <w:multiLevelType w:val="hybridMultilevel"/>
    <w:lvl w:ilvl="0">
      <w:lvlJc w:val="left"/>
      <w:lvlText w:val="•"/>
      <w:numFmt w:val="bullet"/>
      <w:start w:val="1"/>
    </w:lvl>
  </w:abstractNum>
  <w:abstractNum w:abstractNumId="25">
    <w:nsid w:val="75C6C33A"/>
    <w:multiLevelType w:val="hybridMultilevel"/>
    <w:lvl w:ilvl="0">
      <w:lvlJc w:val="left"/>
      <w:lvlText w:val="(%1)"/>
      <w:numFmt w:val="decimal"/>
      <w:start w:val="1"/>
    </w:lvl>
  </w:abstractNum>
  <w:abstractNum w:abstractNumId="26">
    <w:nsid w:val="12E685FB"/>
    <w:multiLevelType w:val="hybridMultilevel"/>
    <w:lvl w:ilvl="0">
      <w:lvlJc w:val="left"/>
      <w:lvlText w:val="(%1)"/>
      <w:numFmt w:val="decimal"/>
      <w:start w:val="1"/>
    </w:lvl>
  </w:abstractNum>
  <w:abstractNum w:abstractNumId="27">
    <w:nsid w:val="70C6A529"/>
    <w:multiLevelType w:val="hybridMultilevel"/>
    <w:lvl w:ilvl="0">
      <w:lvlJc w:val="left"/>
      <w:lvlText w:val="(%1)"/>
      <w:numFmt w:val="decimal"/>
      <w:start w:val="1"/>
    </w:lvl>
  </w:abstractNum>
  <w:abstractNum w:abstractNumId="28">
    <w:nsid w:val="520EEDD1"/>
    <w:multiLevelType w:val="hybridMultilevel"/>
    <w:lvl w:ilvl="0">
      <w:lvlJc w:val="left"/>
      <w:lvlText w:val="(%1)"/>
      <w:numFmt w:val="decimal"/>
      <w:start w:val="1"/>
    </w:lvl>
  </w:abstractNum>
  <w:abstractNum w:abstractNumId="29">
    <w:nsid w:val="374A3FE6"/>
    <w:multiLevelType w:val="hybridMultilevel"/>
    <w:lvl w:ilvl="0">
      <w:lvlJc w:val="left"/>
      <w:lvlText w:val="(%1)"/>
      <w:numFmt w:val="decimal"/>
      <w:start w:val="1"/>
    </w:lvl>
  </w:abstractNum>
  <w:abstractNum w:abstractNumId="30">
    <w:nsid w:val="4F4EF005"/>
    <w:multiLevelType w:val="hybridMultilevel"/>
    <w:lvl w:ilvl="0">
      <w:lvlJc w:val="left"/>
      <w:lvlText w:val="•"/>
      <w:numFmt w:val="bullet"/>
      <w:start w:val="1"/>
    </w:lvl>
  </w:abstractNum>
  <w:abstractNum w:abstractNumId="31">
    <w:nsid w:val="23F9C13C"/>
    <w:multiLevelType w:val="hybridMultilevel"/>
    <w:lvl w:ilvl="0">
      <w:lvlJc w:val="left"/>
      <w:lvlText w:val="•"/>
      <w:numFmt w:val="bullet"/>
      <w:start w:val="1"/>
    </w:lvl>
  </w:abstractNum>
  <w:abstractNum w:abstractNumId="32">
    <w:nsid w:val="649BB77C"/>
    <w:multiLevelType w:val="hybridMultilevel"/>
    <w:lvl w:ilvl="0">
      <w:lvlJc w:val="left"/>
      <w:lvlText w:val="(%1)"/>
      <w:numFmt w:val="decimal"/>
      <w:start w:val="1"/>
    </w:lvl>
  </w:abstractNum>
  <w:abstractNum w:abstractNumId="33">
    <w:nsid w:val="275AC794"/>
    <w:multiLevelType w:val="hybridMultilevel"/>
    <w:lvl w:ilvl="0">
      <w:lvlJc w:val="left"/>
      <w:lvlText w:val="(%1)"/>
      <w:numFmt w:val="decimal"/>
      <w:start w:val="1"/>
    </w:lvl>
  </w:abstractNum>
  <w:abstractNum w:abstractNumId="34">
    <w:nsid w:val="39386575"/>
    <w:multiLevelType w:val="hybridMultilevel"/>
    <w:lvl w:ilvl="0">
      <w:lvlJc w:val="left"/>
      <w:lvlText w:val="(%1)"/>
      <w:numFmt w:val="decimal"/>
      <w:start w:val="1"/>
    </w:lvl>
  </w:abstractNum>
  <w:abstractNum w:abstractNumId="35">
    <w:nsid w:val="1CF10FD8"/>
    <w:multiLevelType w:val="hybridMultilevel"/>
    <w:lvl w:ilvl="0">
      <w:lvlJc w:val="left"/>
      <w:lvlText w:val="(%1)"/>
      <w:numFmt w:val="decimal"/>
      <w:start w:val="1"/>
    </w:lvl>
  </w:abstractNum>
  <w:abstractNum w:abstractNumId="36">
    <w:nsid w:val="180115BE"/>
    <w:multiLevelType w:val="hybridMultilevel"/>
    <w:lvl w:ilvl="0">
      <w:lvlJc w:val="left"/>
      <w:lvlText w:val="(%1)"/>
      <w:numFmt w:val="decimal"/>
      <w:start w:val="1"/>
    </w:lvl>
  </w:abstractNum>
  <w:abstractNum w:abstractNumId="37">
    <w:nsid w:val="235BA861"/>
    <w:multiLevelType w:val="hybridMultilevel"/>
    <w:lvl w:ilvl="0">
      <w:lvlJc w:val="left"/>
      <w:lvlText w:val="(%1)"/>
      <w:numFmt w:val="decimal"/>
      <w:start w:val="1"/>
    </w:lvl>
  </w:abstractNum>
  <w:abstractNum w:abstractNumId="38">
    <w:nsid w:val="47398C89"/>
    <w:multiLevelType w:val="hybridMultilevel"/>
    <w:lvl w:ilvl="0">
      <w:lvlJc w:val="left"/>
      <w:lvlText w:val="•"/>
      <w:numFmt w:val="bullet"/>
      <w:start w:val="1"/>
    </w:lvl>
  </w:abstractNum>
  <w:abstractNum w:abstractNumId="39">
    <w:nsid w:val="354FE9F9"/>
    <w:multiLevelType w:val="hybridMultilevel"/>
    <w:lvl w:ilvl="0">
      <w:lvlJc w:val="left"/>
      <w:lvlText w:val="(%1)"/>
      <w:numFmt w:val="decimal"/>
      <w:start w:val="1"/>
    </w:lvl>
  </w:abstractNum>
  <w:abstractNum w:abstractNumId="40">
    <w:nsid w:val="15B5AF5C"/>
    <w:multiLevelType w:val="hybridMultilevel"/>
    <w:lvl w:ilvl="0">
      <w:lvlJc w:val="left"/>
      <w:lvlText w:val="(%1)"/>
      <w:numFmt w:val="decimal"/>
      <w:start w:val="1"/>
    </w:lvl>
  </w:abstractNum>
  <w:abstractNum w:abstractNumId="41">
    <w:nsid w:val="741226BB"/>
    <w:multiLevelType w:val="hybridMultilevel"/>
    <w:lvl w:ilvl="0">
      <w:lvlJc w:val="left"/>
      <w:lvlText w:val="(%1)"/>
      <w:numFmt w:val="decimal"/>
      <w:start w:val="1"/>
    </w:lvl>
  </w:abstractNum>
  <w:abstractNum w:abstractNumId="42">
    <w:nsid w:val="D34B6A8"/>
    <w:multiLevelType w:val="hybridMultilevel"/>
    <w:lvl w:ilvl="0">
      <w:lvlJc w:val="left"/>
      <w:lvlText w:val="(%1)"/>
      <w:numFmt w:val="decimal"/>
      <w:start w:val="1"/>
    </w:lvl>
  </w:abstractNum>
  <w:abstractNum w:abstractNumId="43">
    <w:nsid w:val="10233C99"/>
    <w:multiLevelType w:val="hybridMultilevel"/>
    <w:lvl w:ilvl="0">
      <w:lvlJc w:val="left"/>
      <w:lvlText w:val="(%1)"/>
      <w:numFmt w:val="decimal"/>
      <w:start w:val="1"/>
    </w:lvl>
  </w:abstractNum>
  <w:abstractNum w:abstractNumId="44">
    <w:nsid w:val="3F6AB60F"/>
    <w:multiLevelType w:val="hybridMultilevel"/>
    <w:lvl w:ilvl="0">
      <w:lvlJc w:val="left"/>
      <w:lvlText w:val="(%1)"/>
      <w:numFmt w:val="decimal"/>
      <w:start w:val="1"/>
    </w:lvl>
  </w:abstractNum>
  <w:abstractNum w:abstractNumId="45">
    <w:nsid w:val="61574095"/>
    <w:multiLevelType w:val="hybridMultilevel"/>
    <w:lvl w:ilvl="0">
      <w:lvlJc w:val="left"/>
      <w:lvlText w:val="(%1)"/>
      <w:numFmt w:val="decimal"/>
      <w:start w:val="1"/>
    </w:lvl>
  </w:abstractNum>
  <w:abstractNum w:abstractNumId="46">
    <w:nsid w:val="7E0C57B1"/>
    <w:multiLevelType w:val="hybridMultilevel"/>
    <w:lvl w:ilvl="0">
      <w:lvlJc w:val="left"/>
      <w:lvlText w:val="(%1)"/>
      <w:numFmt w:val="decimal"/>
      <w:start w:val="1"/>
    </w:lvl>
  </w:abstractNum>
  <w:abstractNum w:abstractNumId="47">
    <w:nsid w:val="77AE35EB"/>
    <w:multiLevelType w:val="hybridMultilevel"/>
    <w:lvl w:ilvl="0">
      <w:lvlJc w:val="left"/>
      <w:lvlText w:val="(%1)"/>
      <w:numFmt w:val="decimal"/>
      <w:start w:val="1"/>
    </w:lvl>
  </w:abstractNum>
  <w:abstractNum w:abstractNumId="48">
    <w:nsid w:val="579BE4F1"/>
    <w:multiLevelType w:val="hybridMultilevel"/>
    <w:lvl w:ilvl="0">
      <w:lvlJc w:val="left"/>
      <w:lvlText w:val="(%1)"/>
      <w:numFmt w:val="decimal"/>
      <w:start w:val="1"/>
    </w:lvl>
  </w:abstractNum>
  <w:abstractNum w:abstractNumId="49">
    <w:nsid w:val="310C50B3"/>
    <w:multiLevelType w:val="hybridMultilevel"/>
    <w:lvl w:ilvl="0">
      <w:lvlJc w:val="left"/>
      <w:lvlText w:val="(%1)"/>
      <w:numFmt w:val="decimal"/>
      <w:start w:val="1"/>
    </w:lvl>
  </w:abstractNum>
  <w:abstractNum w:abstractNumId="50">
    <w:nsid w:val="5FF87E05"/>
    <w:multiLevelType w:val="hybridMultilevel"/>
    <w:lvl w:ilvl="0">
      <w:lvlJc w:val="left"/>
      <w:lvlText w:val="(%1)"/>
      <w:numFmt w:val="decimal"/>
      <w:start w:val="1"/>
    </w:lvl>
  </w:abstractNum>
  <w:abstractNum w:abstractNumId="51">
    <w:nsid w:val="2F305DEF"/>
    <w:multiLevelType w:val="hybridMultilevel"/>
    <w:lvl w:ilvl="0">
      <w:lvlJc w:val="left"/>
      <w:lvlText w:val="(%1)"/>
      <w:numFmt w:val="decimal"/>
      <w:start w:val="1"/>
    </w:lvl>
  </w:abstractNum>
  <w:abstractNum w:abstractNumId="52">
    <w:nsid w:val="25A70BF7"/>
    <w:multiLevelType w:val="hybridMultilevel"/>
    <w:lvl w:ilvl="0">
      <w:lvlJc w:val="left"/>
      <w:lvlText w:val="(%1)"/>
      <w:numFmt w:val="decimal"/>
      <w:start w:val="1"/>
    </w:lvl>
  </w:abstractNum>
  <w:abstractNum w:abstractNumId="53">
    <w:nsid w:val="1DBABF00"/>
    <w:multiLevelType w:val="hybridMultilevel"/>
    <w:lvl w:ilvl="0">
      <w:lvlJc w:val="left"/>
      <w:lvlText w:val="(%1)"/>
      <w:numFmt w:val="decimal"/>
      <w:start w:val="1"/>
    </w:lvl>
  </w:abstractNum>
  <w:abstractNum w:abstractNumId="54">
    <w:nsid w:val="4AD084E9"/>
    <w:multiLevelType w:val="hybridMultilevel"/>
    <w:lvl w:ilvl="0">
      <w:lvlJc w:val="left"/>
      <w:lvlText w:val="(%1)"/>
      <w:numFmt w:val="decimal"/>
      <w:start w:val="1"/>
    </w:lvl>
  </w:abstractNum>
  <w:abstractNum w:abstractNumId="55">
    <w:nsid w:val="1F48EAA1"/>
    <w:multiLevelType w:val="hybridMultilevel"/>
    <w:lvl w:ilvl="0">
      <w:lvlJc w:val="left"/>
      <w:lvlText w:val="•"/>
      <w:numFmt w:val="bullet"/>
      <w:start w:val="1"/>
    </w:lvl>
  </w:abstractNum>
  <w:abstractNum w:abstractNumId="56">
    <w:nsid w:val="1381823A"/>
    <w:multiLevelType w:val="hybridMultilevel"/>
    <w:lvl w:ilvl="0">
      <w:lvlJc w:val="left"/>
      <w:lvlText w:val="%1"/>
      <w:numFmt w:val="decimal"/>
      <w:start w:val="101"/>
    </w:lvl>
  </w:abstractNum>
  <w:abstractNum w:abstractNumId="57">
    <w:nsid w:val="5DB70AE5"/>
    <w:multiLevelType w:val="hybridMultilevel"/>
    <w:lvl w:ilvl="0">
      <w:lvlJc w:val="left"/>
      <w:lvlText w:val="†"/>
      <w:numFmt w:val="bullet"/>
      <w:start w:val="1"/>
    </w:lvl>
  </w:abstractNum>
  <w:abstractNum w:abstractNumId="58">
    <w:nsid w:val="100F8FCA"/>
    <w:multiLevelType w:val="hybridMultilevel"/>
    <w:lvl w:ilvl="0">
      <w:lvlJc w:val="left"/>
      <w:lvlText w:val="*"/>
      <w:numFmt w:val="bullet"/>
      <w:start w:val="1"/>
    </w:lvl>
  </w:abstractNum>
  <w:abstractNum w:abstractNumId="59">
    <w:nsid w:val="6590700B"/>
    <w:multiLevelType w:val="hybridMultilevel"/>
    <w:lvl w:ilvl="0">
      <w:lvlJc w:val="left"/>
      <w:lvlText w:val="%1."/>
      <w:numFmt w:val="upperLetter"/>
      <w:start w:val="9"/>
    </w:lvl>
  </w:abstractNum>
  <w:abstractNum w:abstractNumId="60">
    <w:nsid w:val="15014ACB"/>
    <w:multiLevelType w:val="hybridMultilevel"/>
    <w:lvl w:ilvl="0">
      <w:lvlJc w:val="left"/>
      <w:lvlText w:val="%1."/>
      <w:numFmt w:val="upperLetter"/>
      <w:start w:val="35"/>
    </w:lvl>
  </w:abstractNum>
  <w:abstractNum w:abstractNumId="61">
    <w:nsid w:val="5F5E7FD0"/>
    <w:multiLevelType w:val="hybridMultilevel"/>
    <w:lvl w:ilvl="0">
      <w:lvlJc w:val="left"/>
      <w:lvlText w:val="1"/>
      <w:numFmt w:val="bullet"/>
      <w:start w:val="1"/>
    </w:lvl>
  </w:abstractNum>
  <w:abstractNum w:abstractNumId="62">
    <w:nsid w:val="98A3148"/>
    <w:multiLevelType w:val="hybridMultilevel"/>
    <w:lvl w:ilvl="0">
      <w:lvlJc w:val="left"/>
      <w:lvlText w:val="%1."/>
      <w:numFmt w:val="upperLetter"/>
      <w:start w:val="61"/>
    </w:lvl>
  </w:abstractNum>
  <w:abstractNum w:abstractNumId="63">
    <w:nsid w:val="799D0247"/>
    <w:multiLevelType w:val="hybridMultilevel"/>
    <w:lvl w:ilvl="0">
      <w:lvlJc w:val="left"/>
      <w:lvlText w:val="•"/>
      <w:numFmt w:val="bullet"/>
      <w:start w:val="1"/>
    </w:lvl>
  </w:abstractNum>
  <w:abstractNum w:abstractNumId="64">
    <w:nsid w:val="6B94764"/>
    <w:multiLevelType w:val="hybridMultilevel"/>
    <w:lvl w:ilvl="0">
      <w:lvlJc w:val="left"/>
      <w:lvlText w:val="•"/>
      <w:numFmt w:val="bullet"/>
      <w:start w:val="1"/>
    </w:lvl>
  </w:abstractNum>
  <w:abstractNum w:abstractNumId="65">
    <w:nsid w:val="42C296BD"/>
    <w:multiLevelType w:val="hybridMultilevel"/>
    <w:lvl w:ilvl="0">
      <w:lvlJc w:val="left"/>
      <w:lvlText w:val="•"/>
      <w:numFmt w:val="bullet"/>
      <w:start w:val="1"/>
    </w:lvl>
  </w:abstractNum>
  <w:abstractNum w:abstractNumId="66">
    <w:nsid w:val="168E121F"/>
    <w:multiLevelType w:val="hybridMultilevel"/>
    <w:lvl w:ilvl="0">
      <w:lvlJc w:val="left"/>
      <w:lvlText w:val="•"/>
      <w:numFmt w:val="bullet"/>
      <w:start w:val="1"/>
    </w:lvl>
  </w:abstractNum>
  <w:abstractNum w:abstractNumId="67">
    <w:nsid w:val="1EBA5D23"/>
    <w:multiLevelType w:val="hybridMultilevel"/>
    <w:lvl w:ilvl="0">
      <w:lvlJc w:val="left"/>
      <w:lvlText w:val="•"/>
      <w:numFmt w:val="bullet"/>
      <w:start w:val="1"/>
    </w:lvl>
  </w:abstractNum>
  <w:abstractNum w:abstractNumId="68">
    <w:nsid w:val="661E3F1E"/>
    <w:multiLevelType w:val="hybridMultilevel"/>
    <w:lvl w:ilvl="0">
      <w:lvlJc w:val="left"/>
      <w:lvlText w:val="•"/>
      <w:numFmt w:val="bullet"/>
      <w:start w:val="1"/>
    </w:lvl>
  </w:abstractNum>
  <w:abstractNum w:abstractNumId="69">
    <w:nsid w:val="5DC79EA8"/>
    <w:multiLevelType w:val="hybridMultilevel"/>
    <w:lvl w:ilvl="0">
      <w:lvlJc w:val="left"/>
      <w:lvlText w:val="•"/>
      <w:numFmt w:val="bullet"/>
      <w:start w:val="1"/>
    </w:lvl>
  </w:abstractNum>
  <w:abstractNum w:abstractNumId="70">
    <w:nsid w:val="540A471C"/>
    <w:multiLevelType w:val="hybridMultilevel"/>
    <w:lvl w:ilvl="0">
      <w:lvlJc w:val="left"/>
      <w:lvlText w:val="•"/>
      <w:numFmt w:val="bullet"/>
      <w:start w:val="1"/>
    </w:lvl>
  </w:abstractNum>
  <w:abstractNum w:abstractNumId="71">
    <w:nsid w:val="7BD3EE7B"/>
    <w:multiLevelType w:val="hybridMultilevel"/>
    <w:lvl w:ilvl="0">
      <w:lvlJc w:val="left"/>
      <w:lvlText w:val="%1."/>
      <w:numFmt w:val="upperLetter"/>
      <w:start w:val="22"/>
    </w:lvl>
  </w:abstractNum>
  <w:abstractNum w:abstractNumId="72">
    <w:nsid w:val="51D9C564"/>
    <w:multiLevelType w:val="hybridMultilevel"/>
    <w:lvl w:ilvl="0">
      <w:lvlJc w:val="left"/>
      <w:lvlText w:val="•"/>
      <w:numFmt w:val="bullet"/>
      <w:start w:val="1"/>
    </w:lvl>
  </w:abstractNum>
  <w:abstractNum w:abstractNumId="73">
    <w:nsid w:val="613EFDC5"/>
    <w:multiLevelType w:val="hybridMultilevel"/>
    <w:lvl w:ilvl="0">
      <w:lvlJc w:val="left"/>
      <w:lvlText w:val="•"/>
      <w:numFmt w:val="bullet"/>
      <w:start w:val="1"/>
    </w:lvl>
  </w:abstractNum>
  <w:abstractNum w:abstractNumId="74">
    <w:nsid w:val="BF72B14"/>
    <w:multiLevelType w:val="hybridMultilevel"/>
    <w:lvl w:ilvl="0">
      <w:lvlJc w:val="left"/>
      <w:lvlText w:val="%1."/>
      <w:numFmt w:val="upperLetter"/>
      <w:start w:val="24"/>
    </w:lvl>
  </w:abstractNum>
  <w:abstractNum w:abstractNumId="75">
    <w:nsid w:val="11447B73"/>
    <w:multiLevelType w:val="hybridMultilevel"/>
    <w:lvl w:ilvl="0">
      <w:lvlJc w:val="left"/>
      <w:lvlText w:val="%1."/>
      <w:numFmt w:val="decimal"/>
      <w:start w:val="1"/>
    </w:lvl>
    <w:lvl w:ilvl="1">
      <w:lvlJc w:val="left"/>
      <w:lvlText w:val="%2)"/>
      <w:numFmt w:val="lowerLetter"/>
      <w:start w:val="1"/>
    </w:lvl>
  </w:abstractNum>
  <w:abstractNum w:abstractNumId="76">
    <w:nsid w:val="42963E5A"/>
    <w:multiLevelType w:val="hybridMultilevel"/>
    <w:lvl w:ilvl="0">
      <w:lvlJc w:val="left"/>
      <w:lvlText w:val="%1."/>
      <w:numFmt w:val="decimal"/>
      <w:start w:val="1"/>
    </w:lvl>
    <w:lvl w:ilvl="1">
      <w:lvlJc w:val="left"/>
      <w:lvlText w:val="%2)"/>
      <w:numFmt w:val="lowerLetter"/>
      <w:start w:val="1"/>
    </w:lvl>
  </w:abstractNum>
  <w:abstractNum w:abstractNumId="77">
    <w:nsid w:val="A0382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3" Type="http://schemas.openxmlformats.org/officeDocument/2006/relationships/image" Target="media/image124.png"/><Relationship Id="rId136" Type="http://schemas.openxmlformats.org/officeDocument/2006/relationships/image" Target="media/image125.png"/><Relationship Id="rId139" Type="http://schemas.openxmlformats.org/officeDocument/2006/relationships/image" Target="media/image126.png"/><Relationship Id="rId142" Type="http://schemas.openxmlformats.org/officeDocument/2006/relationships/image" Target="media/image127.png"/><Relationship Id="rId145" Type="http://schemas.openxmlformats.org/officeDocument/2006/relationships/image" Target="media/image128.png"/><Relationship Id="rId148" Type="http://schemas.openxmlformats.org/officeDocument/2006/relationships/image" Target="media/image129.png"/><Relationship Id="rId151"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8" Type="http://schemas.openxmlformats.org/officeDocument/2006/relationships/image" Target="media/image133.png"/><Relationship Id="rId161" Type="http://schemas.openxmlformats.org/officeDocument/2006/relationships/image" Target="media/image134.png"/><Relationship Id="rId164" Type="http://schemas.openxmlformats.org/officeDocument/2006/relationships/image" Target="media/image135.png"/><Relationship Id="rId167" Type="http://schemas.openxmlformats.org/officeDocument/2006/relationships/image" Target="media/image136.png"/><Relationship Id="rId170" Type="http://schemas.openxmlformats.org/officeDocument/2006/relationships/image" Target="media/image137.png"/><Relationship Id="rId173" Type="http://schemas.openxmlformats.org/officeDocument/2006/relationships/image" Target="media/image138.png"/><Relationship Id="rId176" Type="http://schemas.openxmlformats.org/officeDocument/2006/relationships/image" Target="media/image139.png"/><Relationship Id="rId179" Type="http://schemas.openxmlformats.org/officeDocument/2006/relationships/image" Target="media/image140.png"/><Relationship Id="rId182" Type="http://schemas.openxmlformats.org/officeDocument/2006/relationships/image" Target="media/image141.png"/><Relationship Id="rId185" Type="http://schemas.openxmlformats.org/officeDocument/2006/relationships/image" Target="media/image142.png"/><Relationship Id="rId188" Type="http://schemas.openxmlformats.org/officeDocument/2006/relationships/image" Target="media/image143.png"/><Relationship Id="rId191" Type="http://schemas.openxmlformats.org/officeDocument/2006/relationships/image" Target="media/image144.png"/><Relationship Id="rId194" Type="http://schemas.openxmlformats.org/officeDocument/2006/relationships/image" Target="media/image145.png"/><Relationship Id="rId197" Type="http://schemas.openxmlformats.org/officeDocument/2006/relationships/image" Target="media/image146.png"/><Relationship Id="rId198" Type="http://schemas.openxmlformats.org/officeDocument/2006/relationships/image" Target="media/image147.png"/><Relationship Id="rId200" Type="http://schemas.openxmlformats.org/officeDocument/2006/relationships/image" Target="media/image148.png"/><Relationship Id="rId202" Type="http://schemas.openxmlformats.org/officeDocument/2006/relationships/image" Target="media/image149.png"/><Relationship Id="rId203" Type="http://schemas.openxmlformats.org/officeDocument/2006/relationships/image" Target="media/image150.png"/><Relationship Id="rId204" Type="http://schemas.openxmlformats.org/officeDocument/2006/relationships/image" Target="media/image151.png"/><Relationship Id="rId205" Type="http://schemas.openxmlformats.org/officeDocument/2006/relationships/image" Target="media/image152.png"/><Relationship Id="rId206" Type="http://schemas.openxmlformats.org/officeDocument/2006/relationships/image" Target="media/image153.png"/><Relationship Id="rId207" Type="http://schemas.openxmlformats.org/officeDocument/2006/relationships/image" Target="media/image154.png"/><Relationship Id="rId208" Type="http://schemas.openxmlformats.org/officeDocument/2006/relationships/image" Target="media/image155.png"/><Relationship Id="rId209" Type="http://schemas.openxmlformats.org/officeDocument/2006/relationships/image" Target="media/image156.png"/><Relationship Id="rId210" Type="http://schemas.openxmlformats.org/officeDocument/2006/relationships/image" Target="media/image157.png"/><Relationship Id="rId211" Type="http://schemas.openxmlformats.org/officeDocument/2006/relationships/image" Target="media/image158.png"/><Relationship Id="rId212" Type="http://schemas.openxmlformats.org/officeDocument/2006/relationships/image" Target="media/image159.png"/><Relationship Id="rId213" Type="http://schemas.openxmlformats.org/officeDocument/2006/relationships/image" Target="media/image160.png"/><Relationship Id="rId214" Type="http://schemas.openxmlformats.org/officeDocument/2006/relationships/image" Target="media/image161.png"/><Relationship Id="rId215" Type="http://schemas.openxmlformats.org/officeDocument/2006/relationships/image" Target="media/image162.png"/><Relationship Id="rId216" Type="http://schemas.openxmlformats.org/officeDocument/2006/relationships/image" Target="media/image163.png"/><Relationship Id="rId217" Type="http://schemas.openxmlformats.org/officeDocument/2006/relationships/image" Target="media/image164.png"/><Relationship Id="rId218" Type="http://schemas.openxmlformats.org/officeDocument/2006/relationships/image" Target="media/image165.png"/><Relationship Id="rId219" Type="http://schemas.openxmlformats.org/officeDocument/2006/relationships/image" Target="media/image166.png"/><Relationship Id="rId220" Type="http://schemas.openxmlformats.org/officeDocument/2006/relationships/image" Target="media/image167.png"/><Relationship Id="rId221" Type="http://schemas.openxmlformats.org/officeDocument/2006/relationships/image" Target="media/image168.png"/><Relationship Id="rId222" Type="http://schemas.openxmlformats.org/officeDocument/2006/relationships/image" Target="media/image169.png"/><Relationship Id="rId131" Type="http://schemas.openxmlformats.org/officeDocument/2006/relationships/hyperlink" Target="https://www.sec.gov/Archives/edgar/data/1932393/000119312523001161/d386556dex21.htm" TargetMode="External"/><Relationship Id="rId132" Type="http://schemas.openxmlformats.org/officeDocument/2006/relationships/hyperlink" Target="https://www.sec.gov/Archives/edgar/data/1932393/000119312522314166/d439598dex31.htm" TargetMode="External"/><Relationship Id="rId134" Type="http://schemas.openxmlformats.org/officeDocument/2006/relationships/hyperlink" Target="https://www.sec.gov/Archives/edgar/data/1932393/000119312522314166/d439598dex32.htm" TargetMode="External"/><Relationship Id="rId135" Type="http://schemas.openxmlformats.org/officeDocument/2006/relationships/hyperlink" Target="https://www.sec.gov/Archives/edgar/data/40545/000119312522292079/d425000dex41.htm" TargetMode="External"/><Relationship Id="rId137" Type="http://schemas.openxmlformats.org/officeDocument/2006/relationships/hyperlink" Target="https://www.sec.gov/Archives/edgar/data/40545/000119312522292079/d425000dex42.htm" TargetMode="External"/><Relationship Id="rId138" Type="http://schemas.openxmlformats.org/officeDocument/2006/relationships/hyperlink" Target="https://www.sec.gov/Archives/edgar/data/1932393/000119312524201356/d868737dex42.htm" TargetMode="External"/><Relationship Id="rId140" Type="http://schemas.openxmlformats.org/officeDocument/2006/relationships/hyperlink" Target="https://www.sec.gov/Archives/edgar/data/1932393/000193239325000041/gehc-thirdsupplementalinde.htm" TargetMode="External"/><Relationship Id="rId141" Type="http://schemas.openxmlformats.org/officeDocument/2006/relationships/hyperlink" Target="https://www.sec.gov/Archives/edgar/data/1932393/000119312525319383/d75788dex42.htm" TargetMode="External"/><Relationship Id="rId143" Type="http://schemas.openxmlformats.org/officeDocument/2006/relationships/hyperlink" Target="https://www.sec.gov/Archives/edgar/data/1932393/000193239323000025/ge4q202210kexhibit44.htm" TargetMode="External"/><Relationship Id="rId144" Type="http://schemas.openxmlformats.org/officeDocument/2006/relationships/hyperlink" Target="https://www.sec.gov/Archives/edgar/data/1932393/000119312523001161/d386556dex102.htm" TargetMode="External"/><Relationship Id="rId146" Type="http://schemas.openxmlformats.org/officeDocument/2006/relationships/hyperlink" Target="https://www.sec.gov/Archives/edgar/data/1932393/000119312523001161/d386556dex104.htm" TargetMode="External"/><Relationship Id="rId147" Type="http://schemas.openxmlformats.org/officeDocument/2006/relationships/hyperlink" Target="https://www.sec.gov/Archives/edgar/data/1932393/000119312522260650/d379971dex107.htm" TargetMode="External"/><Relationship Id="rId149" Type="http://schemas.openxmlformats.org/officeDocument/2006/relationships/hyperlink" Target="https://www.sec.gov/Archives/edgar/data/1932393/000193239325000007/exhibit101.htm" TargetMode="External"/><Relationship Id="rId150" Type="http://schemas.openxmlformats.org/officeDocument/2006/relationships/hyperlink" Target="https://www.sec.gov/Archives/edgar/data/1932393/000193239325000007/exhibit102.htm" TargetMode="External"/><Relationship Id="rId152" Type="http://schemas.openxmlformats.org/officeDocument/2006/relationships/hyperlink" Target="https://www.sec.gov/Archives/edgar/data/1932393/000119312525319383/d75788dex101.htm" TargetMode="External"/><Relationship Id="rId153" Type="http://schemas.openxmlformats.org/officeDocument/2006/relationships/hyperlink" Target="https://www.sec.gov/Archives/edgar/data/1932393/000119312522304909/d383836dex1011.htm" TargetMode="External"/><Relationship Id="rId156" Type="http://schemas.openxmlformats.org/officeDocument/2006/relationships/hyperlink" Target="https://www.sec.gov/Archives/edgar/data/1932393/000119312522304909/d383836dex1012.htm" TargetMode="External"/><Relationship Id="rId157" Type="http://schemas.openxmlformats.org/officeDocument/2006/relationships/hyperlink" Target="https://www.sec.gov/Archives/edgar/data/1932393/000119312522304909/d383836dex1013.htm" TargetMode="External"/><Relationship Id="rId159" Type="http://schemas.openxmlformats.org/officeDocument/2006/relationships/hyperlink" Target="https://www.sec.gov/Archives/edgar/data/1932393/000119312522304909/d383836dex1014.htm" TargetMode="External"/><Relationship Id="rId160" Type="http://schemas.openxmlformats.org/officeDocument/2006/relationships/hyperlink" Target="https://www.sec.gov/Archives/edgar/data/1932393/000119312522279103/d379971dex1015.htm" TargetMode="External"/><Relationship Id="rId162" Type="http://schemas.openxmlformats.org/officeDocument/2006/relationships/hyperlink" Target="https://www.sec.gov/Archives/edgar/data/1932393/000119312522288985/d379971dex1016.htm" TargetMode="External"/><Relationship Id="rId163" Type="http://schemas.openxmlformats.org/officeDocument/2006/relationships/hyperlink" Target="https://www.sec.gov/Archives/edgar/data/1932393/000193239323000087/gehc1q202310qexhibit1013.htm" TargetMode="External"/><Relationship Id="rId165" Type="http://schemas.openxmlformats.org/officeDocument/2006/relationships/hyperlink" Target="https://www.sec.gov/Archives/edgar/data/1932393/000193239323000112/gehc2q202310qexhibit102.htm" TargetMode="External"/><Relationship Id="rId166" Type="http://schemas.openxmlformats.org/officeDocument/2006/relationships/hyperlink" Target="https://www.sec.gov/Archives/edgar/data/1932393/000193239324000034/gehc1q202410qexhibit105.htm" TargetMode="External"/><Relationship Id="rId168" Type="http://schemas.openxmlformats.org/officeDocument/2006/relationships/hyperlink" Target="https://www.sec.gov/Archives/edgar/data/1932393/000193239325000014/gehc1q202510qexhibit103.htm" TargetMode="External"/><Relationship Id="rId169" Type="http://schemas.openxmlformats.org/officeDocument/2006/relationships/hyperlink" Target="https://www.sec.gov/Archives/edgar/data/1932393/000119312522279103/d379971dex1020.htm" TargetMode="External"/><Relationship Id="rId171" Type="http://schemas.openxmlformats.org/officeDocument/2006/relationships/hyperlink" Target="https://www.sec.gov/Archives/edgar/data/1932393/000119312522279103/d379971dex1021.htm" TargetMode="External"/><Relationship Id="rId172" Type="http://schemas.openxmlformats.org/officeDocument/2006/relationships/hyperlink" Target="https://www.sec.gov/Archives/edgar/data/1932393/000193239323000012/onegehcannualbonusplaneffe.htm" TargetMode="External"/><Relationship Id="rId174" Type="http://schemas.openxmlformats.org/officeDocument/2006/relationships/hyperlink" Target="https://www.sec.gov/Archives/edgar/data/1932393/000193239323000112/gehc2q202310qexhibit101.htm" TargetMode="External"/><Relationship Id="rId175" Type="http://schemas.openxmlformats.org/officeDocument/2006/relationships/hyperlink" Target="https://www.sec.gov/Archives/edgar/data/1932393/000193239323000087/gehc1q202310qexhibit109.htm" TargetMode="External"/><Relationship Id="rId177" Type="http://schemas.openxmlformats.org/officeDocument/2006/relationships/hyperlink" Target="https://www.sec.gov/Archives/edgar/data/1932393/000193239323000037/formofaward-2023ltiprsugra.htm" TargetMode="External"/><Relationship Id="rId178" Type="http://schemas.openxmlformats.org/officeDocument/2006/relationships/hyperlink" Target="https://www.sec.gov/Archives/edgar/data/1932393/000193239323000037/formofaward-2023ltipstocko.htm" TargetMode="External"/><Relationship Id="rId180" Type="http://schemas.openxmlformats.org/officeDocument/2006/relationships/hyperlink" Target="https://www.sec.gov/Archives/edgar/data/1932393/000193239323000037/formofaward-2023ltippsugra.htm" TargetMode="External"/><Relationship Id="rId181" Type="http://schemas.openxmlformats.org/officeDocument/2006/relationships/hyperlink" Target="https://www.sec.gov/Archives/edgar/data/1932393/000193239323000012/formofawardgehealthcare-gl.htm" TargetMode="External"/><Relationship Id="rId183" Type="http://schemas.openxmlformats.org/officeDocument/2006/relationships/hyperlink" Target="https://www.sec.gov/Archives/edgar/data/1932393/000193239324000034/gehc1q202410qexhibit101.htm" TargetMode="External"/><Relationship Id="rId184" Type="http://schemas.openxmlformats.org/officeDocument/2006/relationships/hyperlink" Target="https://www.sec.gov/Archives/edgar/data/1932393/000193239324000034/gehc1q202410qexhibit102.htm" TargetMode="External"/><Relationship Id="rId186" Type="http://schemas.openxmlformats.org/officeDocument/2006/relationships/hyperlink" Target="https://www.sec.gov/Archives/edgar/data/1932393/000193239324000034/gehc1q202410qexhibit103.htm" TargetMode="External"/><Relationship Id="rId187" Type="http://schemas.openxmlformats.org/officeDocument/2006/relationships/hyperlink" Target="https://www.sec.gov/Archives/edgar/data/1932393/000193239324000034/gehc1q202410qexhibit104.htm" TargetMode="External"/><Relationship Id="rId189" Type="http://schemas.openxmlformats.org/officeDocument/2006/relationships/hyperlink" Target="https://www.sec.gov/Archives/edgar/data/1932393/000193239325000014/gehc1q202510qexhibit104.htm" TargetMode="External"/><Relationship Id="rId190" Type="http://schemas.openxmlformats.org/officeDocument/2006/relationships/hyperlink" Target="https://www.sec.gov/Archives/edgar/data/1932393/000193239325000014/gehc1q202510qexhibit105.htm" TargetMode="External"/><Relationship Id="rId192" Type="http://schemas.openxmlformats.org/officeDocument/2006/relationships/hyperlink" Target="https://www.sec.gov/Archives/edgar/data/1932393/000193239325000014/gehc1q202510qexhibit106.htm" TargetMode="External"/><Relationship Id="rId193" Type="http://schemas.openxmlformats.org/officeDocument/2006/relationships/hyperlink" Target="https://www.sec.gov/Archives/edgar/data/1932393/000193239325000014/gehc1q202510qexhibit107.htm" TargetMode="External"/><Relationship Id="rId195" Type="http://schemas.openxmlformats.org/officeDocument/2006/relationships/hyperlink" Target="https://www.sec.gov/Archives/edgar/data/1932393/000193239325000014/gehc1q202510qexhibit108.htm" TargetMode="External"/><Relationship Id="rId196" Type="http://schemas.openxmlformats.org/officeDocument/2006/relationships/hyperlink" Target="https://www.sec.gov/Archives/edgar/data/1932393/000193239323000087/gehc1q202310qexhibit1010.htm" TargetMode="External"/><Relationship Id="rId199" Type="http://schemas.openxmlformats.org/officeDocument/2006/relationships/hyperlink" Target="https://www.sec.gov/Archives/edgar/data/1932393/000193239323000087/gehc1q202310qexhibit1011.htm" TargetMode="External"/><Relationship Id="rId201" Type="http://schemas.openxmlformats.org/officeDocument/2006/relationships/hyperlink" Target="https://www.sec.gov/Archives/edgar/data/1932393/000193239324000013/ge4q202310k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2026-02-04T05:36:39Z</dcterms:created>
  <dcterms:modified xsi:type="dcterms:W3CDTF">2026-02-04T05:36:39Z</dcterms:modified>
</cp:coreProperties>
</file>