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31" w:lineRule="exact"/>
        <w:rPr>
          <w:sz w:val="24"/>
          <w:szCs w:val="24"/>
          <w:color w:val="auto"/>
        </w:rPr>
      </w:pPr>
    </w:p>
    <w:p>
      <w:pPr>
        <w:jc w:val="center"/>
        <w:ind w:left="3900" w:right="1360" w:hanging="2527"/>
        <w:spacing w:after="0" w:line="280" w:lineRule="auto"/>
        <w:tabs>
          <w:tab w:leader="none" w:pos="156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2025</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jc w:val="center"/>
        <w:ind w:left="3980" w:right="1360" w:hanging="2605"/>
        <w:spacing w:after="0" w:line="325" w:lineRule="auto"/>
        <w:tabs>
          <w:tab w:leader="none" w:pos="156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 to ____</w:t>
      </w:r>
    </w:p>
    <w:p>
      <w:pPr>
        <w:spacing w:after="0" w:line="1" w:lineRule="exact"/>
        <w:rPr>
          <w:rFonts w:ascii="MS PGothic" w:cs="MS PGothic" w:eastAsia="MS PGothic" w:hAnsi="MS PGothic"/>
          <w:sz w:val="16"/>
          <w:szCs w:val="16"/>
          <w:color w:val="auto"/>
          <w:highlight w:val="black"/>
        </w:rPr>
      </w:pPr>
    </w:p>
    <w:p>
      <w:pPr>
        <w:ind w:left="426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001-41528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12065</wp:posOffset>
            </wp:positionV>
            <wp:extent cx="21431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 HEALTHCARE TECHNOLOGIES INC.</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9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9"/>
              </w:rPr>
              <w:t>Delaware</w:t>
            </w:r>
          </w:p>
        </w:tc>
        <w:tc>
          <w:tcPr>
            <w:tcW w:w="5300" w:type="dxa"/>
            <w:vAlign w:val="bottom"/>
          </w:tcPr>
          <w:p>
            <w:pPr>
              <w:jc w:val="right"/>
              <w:ind w:right="2139"/>
              <w:spacing w:after="0"/>
              <w:rPr>
                <w:sz w:val="20"/>
                <w:szCs w:val="20"/>
                <w:color w:val="auto"/>
              </w:rPr>
            </w:pPr>
            <w:r>
              <w:rPr>
                <w:rFonts w:ascii="Arial" w:cs="Arial" w:eastAsia="Arial" w:hAnsi="Arial"/>
                <w:sz w:val="16"/>
                <w:szCs w:val="16"/>
                <w:b w:val="1"/>
                <w:bCs w:val="1"/>
                <w:color w:val="auto"/>
              </w:rPr>
              <w:t>88-2515116</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tc>
        <w:tc>
          <w:tcPr>
            <w:tcW w:w="530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67"/>
        </w:trPr>
        <w:tc>
          <w:tcPr>
            <w:tcW w:w="59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500 W. Monroe Street, Chicago, IL</w:t>
            </w:r>
          </w:p>
        </w:tc>
        <w:tc>
          <w:tcPr>
            <w:tcW w:w="5300" w:type="dxa"/>
            <w:vAlign w:val="bottom"/>
          </w:tcPr>
          <w:p>
            <w:pPr>
              <w:jc w:val="right"/>
              <w:ind w:right="2339"/>
              <w:spacing w:after="0"/>
              <w:rPr>
                <w:sz w:val="20"/>
                <w:szCs w:val="20"/>
                <w:color w:val="auto"/>
              </w:rPr>
            </w:pPr>
            <w:r>
              <w:rPr>
                <w:rFonts w:ascii="Arial" w:cs="Arial" w:eastAsia="Arial" w:hAnsi="Arial"/>
                <w:sz w:val="16"/>
                <w:szCs w:val="16"/>
                <w:b w:val="1"/>
                <w:bCs w:val="1"/>
                <w:color w:val="auto"/>
              </w:rPr>
              <w:t>60661</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(Address of principal executive offices)</w:t>
            </w:r>
          </w:p>
        </w:tc>
        <w:tc>
          <w:tcPr>
            <w:tcW w:w="530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(833) 735-1139</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10" w:type="dxa"/>
        <w:tblCellMar>
          <w:top w:w="0" w:type="dxa"/>
          <w:left w:w="0" w:type="dxa"/>
          <w:bottom w:w="0" w:type="dxa"/>
          <w:right w:w="0" w:type="dxa"/>
        </w:tblCellMar>
      </w:tblPr>
      <w:tr>
        <w:trPr>
          <w:trHeight w:val="221"/>
        </w:trPr>
        <w:tc>
          <w:tcPr>
            <w:tcW w:w="42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Title of each class</w:t>
            </w:r>
          </w:p>
        </w:tc>
        <w:tc>
          <w:tcPr>
            <w:tcW w:w="27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Trading Symbol(s)</w:t>
            </w:r>
          </w:p>
        </w:tc>
        <w:tc>
          <w:tcPr>
            <w:tcW w:w="4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r>
        <w:trPr>
          <w:trHeight w:val="201"/>
        </w:trPr>
        <w:tc>
          <w:tcPr>
            <w:tcW w:w="42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7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GEHC</w:t>
            </w:r>
          </w:p>
        </w:tc>
        <w:tc>
          <w:tcPr>
            <w:tcW w:w="4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bl>
    <w:p>
      <w:pPr>
        <w:spacing w:after="0" w:line="323" w:lineRule="exact"/>
        <w:rPr>
          <w:sz w:val="24"/>
          <w:szCs w:val="24"/>
          <w:color w:val="auto"/>
        </w:rPr>
      </w:pPr>
    </w:p>
    <w:p>
      <w:pPr>
        <w:jc w:val="both"/>
        <w:ind w:right="4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w:t>
      </w:r>
    </w:p>
    <w:p>
      <w:pPr>
        <w:spacing w:after="0" w:line="21" w:lineRule="exact"/>
        <w:rPr>
          <w:sz w:val="24"/>
          <w:szCs w:val="24"/>
          <w:color w:val="auto"/>
        </w:rPr>
      </w:pPr>
    </w:p>
    <w:p>
      <w:pPr>
        <w:ind w:right="180"/>
        <w:spacing w:after="0" w:line="211" w:lineRule="exact"/>
        <w:rPr>
          <w:sz w:val="20"/>
          <w:szCs w:val="20"/>
          <w:color w:val="auto"/>
        </w:rPr>
      </w:pPr>
      <w:r>
        <w:rPr>
          <w:rFonts w:ascii="Arial" w:cs="Arial" w:eastAsia="Arial" w:hAnsi="Arial"/>
          <w:sz w:val="16"/>
          <w:szCs w:val="16"/>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9" w:lineRule="exact"/>
        <w:rPr>
          <w:sz w:val="24"/>
          <w:szCs w:val="24"/>
          <w:color w:val="auto"/>
        </w:rPr>
      </w:pPr>
    </w:p>
    <w:tbl>
      <w:tblPr>
        <w:tblLayout w:type="fixed"/>
        <w:tblInd w:w="1680" w:type="dxa"/>
        <w:tblCellMar>
          <w:top w:w="0" w:type="dxa"/>
          <w:left w:w="0" w:type="dxa"/>
          <w:bottom w:w="0" w:type="dxa"/>
          <w:right w:w="0" w:type="dxa"/>
        </w:tblCellMar>
      </w:tblPr>
      <w:tr>
        <w:trPr>
          <w:trHeight w:val="256"/>
        </w:trPr>
        <w:tc>
          <w:tcPr>
            <w:tcW w:w="2760" w:type="dxa"/>
            <w:vAlign w:val="bottom"/>
          </w:tcPr>
          <w:p>
            <w:pPr>
              <w:jc w:val="center"/>
              <w:ind w:right="759"/>
              <w:spacing w:after="0"/>
              <w:rPr>
                <w:sz w:val="20"/>
                <w:szCs w:val="20"/>
                <w:color w:val="auto"/>
              </w:rPr>
            </w:pPr>
            <w:r>
              <w:rPr>
                <w:rFonts w:ascii="Arial" w:cs="Arial" w:eastAsia="Arial" w:hAnsi="Arial"/>
                <w:sz w:val="16"/>
                <w:szCs w:val="16"/>
                <w:color w:val="auto"/>
              </w:rPr>
              <w:t>Large 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760" w:type="dxa"/>
            <w:vAlign w:val="bottom"/>
          </w:tcPr>
          <w:p>
            <w:pPr>
              <w:jc w:val="center"/>
              <w:ind w:right="779"/>
              <w:spacing w:after="0"/>
              <w:rPr>
                <w:sz w:val="20"/>
                <w:szCs w:val="20"/>
                <w:color w:val="auto"/>
              </w:rPr>
            </w:pPr>
            <w:r>
              <w:rPr>
                <w:rFonts w:ascii="Arial" w:cs="Arial" w:eastAsia="Arial" w:hAnsi="Arial"/>
                <w:sz w:val="16"/>
                <w:szCs w:val="16"/>
                <w:color w:val="auto"/>
              </w:rPr>
              <w:t>Non-accelerated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jc w:val="center"/>
              <w:ind w:left="19"/>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60" w:type="dxa"/>
            <w:vAlign w:val="bottom"/>
          </w:tcPr>
          <w:p>
            <w:pPr>
              <w:jc w:val="center"/>
              <w:ind w:right="759"/>
              <w:spacing w:after="0"/>
              <w:rPr>
                <w:sz w:val="20"/>
                <w:szCs w:val="20"/>
                <w:color w:val="auto"/>
              </w:rPr>
            </w:pPr>
            <w:r>
              <w:rPr>
                <w:rFonts w:ascii="Arial" w:cs="Arial" w:eastAsia="Arial" w:hAnsi="Arial"/>
                <w:sz w:val="16"/>
                <w:szCs w:val="16"/>
                <w:color w:val="auto"/>
              </w:rPr>
              <w:t>Emerging growth company</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87"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20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456,562,037 shares of common stock with a par value of $0.01 per share outstanding as of July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1060" w:type="dxa"/>
            <w:vAlign w:val="bottom"/>
          </w:tcPr>
          <w:p>
            <w:pPr>
              <w:spacing w:after="0"/>
              <w:rPr>
                <w:sz w:val="19"/>
                <w:szCs w:val="19"/>
                <w:color w:val="auto"/>
              </w:rPr>
            </w:pPr>
          </w:p>
        </w:tc>
        <w:tc>
          <w:tcPr>
            <w:tcW w:w="8540" w:type="dxa"/>
            <w:vAlign w:val="bottom"/>
          </w:tcPr>
          <w:p>
            <w:pPr>
              <w:ind w:left="3880"/>
              <w:spacing w:after="0"/>
              <w:rPr>
                <w:sz w:val="20"/>
                <w:szCs w:val="20"/>
                <w:color w:val="auto"/>
              </w:rPr>
            </w:pPr>
            <w:r>
              <w:rPr>
                <w:rFonts w:ascii="Arial" w:cs="Arial" w:eastAsia="Arial" w:hAnsi="Arial"/>
                <w:sz w:val="16"/>
                <w:szCs w:val="16"/>
                <w:b w:val="1"/>
                <w:bCs w:val="1"/>
                <w:color w:val="auto"/>
              </w:rPr>
              <w:t>Table of Contents</w:t>
            </w:r>
          </w:p>
        </w:tc>
        <w:tc>
          <w:tcPr>
            <w:tcW w:w="1640" w:type="dxa"/>
            <w:vAlign w:val="bottom"/>
          </w:tcPr>
          <w:p>
            <w:pPr>
              <w:spacing w:after="0"/>
              <w:rPr>
                <w:sz w:val="19"/>
                <w:szCs w:val="19"/>
                <w:color w:val="auto"/>
              </w:rPr>
            </w:pPr>
          </w:p>
        </w:tc>
      </w:tr>
      <w:tr>
        <w:trPr>
          <w:trHeight w:val="256"/>
        </w:trPr>
        <w:tc>
          <w:tcPr>
            <w:tcW w:w="1060" w:type="dxa"/>
            <w:vAlign w:val="bottom"/>
          </w:tcPr>
          <w:p>
            <w:pPr>
              <w:spacing w:after="0"/>
              <w:rPr>
                <w:sz w:val="22"/>
                <w:szCs w:val="22"/>
                <w:color w:val="auto"/>
              </w:rPr>
            </w:pPr>
          </w:p>
        </w:tc>
        <w:tc>
          <w:tcPr>
            <w:tcW w:w="85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473"/>
        </w:trPr>
        <w:tc>
          <w:tcPr>
            <w:tcW w:w="96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Forward-Looking Statements</w:t>
            </w:r>
          </w:p>
        </w:tc>
        <w:tc>
          <w:tcPr>
            <w:tcW w:w="16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8540" w:type="dxa"/>
            <w:vAlign w:val="bottom"/>
          </w:tcPr>
          <w:p>
            <w:pPr>
              <w:ind w:left="200"/>
              <w:spacing w:after="0"/>
              <w:rPr>
                <w:sz w:val="20"/>
                <w:szCs w:val="20"/>
                <w:color w:val="auto"/>
              </w:rPr>
            </w:pPr>
            <w:r>
              <w:rPr>
                <w:rFonts w:ascii="Arial" w:cs="Arial" w:eastAsia="Arial" w:hAnsi="Arial"/>
                <w:sz w:val="16"/>
                <w:szCs w:val="16"/>
                <w:b w:val="1"/>
                <w:bCs w:val="1"/>
                <w:color w:val="auto"/>
              </w:rPr>
              <w:t>Financial Information</w:t>
            </w:r>
          </w:p>
        </w:tc>
        <w:tc>
          <w:tcPr>
            <w:tcW w:w="1640" w:type="dxa"/>
            <w:vAlign w:val="bottom"/>
          </w:tcPr>
          <w:p>
            <w:pPr>
              <w:spacing w:after="0"/>
              <w:rPr>
                <w:sz w:val="24"/>
                <w:szCs w:val="24"/>
                <w:color w:val="auto"/>
              </w:rPr>
            </w:pPr>
          </w:p>
        </w:tc>
      </w:tr>
      <w:tr>
        <w:trPr>
          <w:trHeight w:val="21"/>
        </w:trPr>
        <w:tc>
          <w:tcPr>
            <w:tcW w:w="1060" w:type="dxa"/>
            <w:vAlign w:val="bottom"/>
            <w:tcBorders>
              <w:bottom w:val="single" w:sz="8" w:color="6022A6"/>
            </w:tcBorders>
          </w:tcPr>
          <w:p>
            <w:pPr>
              <w:spacing w:after="0" w:line="20" w:lineRule="exact"/>
              <w:rPr>
                <w:sz w:val="1"/>
                <w:szCs w:val="1"/>
                <w:color w:val="auto"/>
              </w:rPr>
            </w:pPr>
          </w:p>
        </w:tc>
        <w:tc>
          <w:tcPr>
            <w:tcW w:w="854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r>
      <w:tr>
        <w:trPr>
          <w:trHeight w:val="229"/>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w:t>
            </w:r>
          </w:p>
        </w:tc>
        <w:tc>
          <w:tcPr>
            <w:tcW w:w="8540" w:type="dxa"/>
            <w:vAlign w:val="bottom"/>
          </w:tcPr>
          <w:p>
            <w:pPr>
              <w:ind w:left="200"/>
              <w:spacing w:after="0"/>
              <w:rPr>
                <w:sz w:val="20"/>
                <w:szCs w:val="20"/>
                <w:color w:val="auto"/>
              </w:rPr>
            </w:pPr>
            <w:r>
              <w:rPr>
                <w:rFonts w:ascii="Arial" w:cs="Arial" w:eastAsia="Arial" w:hAnsi="Arial"/>
                <w:sz w:val="16"/>
                <w:szCs w:val="16"/>
                <w:color w:val="auto"/>
              </w:rPr>
              <w:t>Financial Statements (Unaudited)</w:t>
            </w:r>
          </w:p>
        </w:tc>
        <w:tc>
          <w:tcPr>
            <w:tcW w:w="1640" w:type="dxa"/>
            <w:vAlign w:val="bottom"/>
          </w:tcPr>
          <w:p>
            <w:pPr>
              <w:spacing w:after="0"/>
              <w:rPr>
                <w:sz w:val="19"/>
                <w:szCs w:val="19"/>
                <w:color w:val="auto"/>
              </w:rPr>
            </w:pPr>
          </w:p>
        </w:tc>
      </w:tr>
      <w:tr>
        <w:trPr>
          <w:trHeight w:val="248"/>
        </w:trPr>
        <w:tc>
          <w:tcPr>
            <w:tcW w:w="1060" w:type="dxa"/>
            <w:vAlign w:val="bottom"/>
          </w:tcPr>
          <w:p>
            <w:pPr>
              <w:spacing w:after="0"/>
              <w:rPr>
                <w:sz w:val="21"/>
                <w:szCs w:val="21"/>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Income</w:t>
            </w:r>
          </w:p>
        </w:tc>
        <w:tc>
          <w:tcPr>
            <w:tcW w:w="16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Comprehensive Income (Loss)</w:t>
            </w:r>
          </w:p>
        </w:tc>
        <w:tc>
          <w:tcPr>
            <w:tcW w:w="16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Financial Position</w:t>
            </w:r>
          </w:p>
        </w:tc>
        <w:tc>
          <w:tcPr>
            <w:tcW w:w="16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Changes in Equity</w:t>
            </w:r>
          </w:p>
        </w:tc>
        <w:tc>
          <w:tcPr>
            <w:tcW w:w="16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Condensed Consolidated Statements of Cash Flows</w:t>
            </w:r>
          </w:p>
        </w:tc>
        <w:tc>
          <w:tcPr>
            <w:tcW w:w="16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Notes to the Condensed Consolidated Financial Statements (Unaudited)</w:t>
            </w:r>
          </w:p>
        </w:tc>
        <w:tc>
          <w:tcPr>
            <w:tcW w:w="16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 Organization and Basis of Presentation</w:t>
            </w:r>
          </w:p>
        </w:tc>
        <w:tc>
          <w:tcPr>
            <w:tcW w:w="16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2. Revenue Recognition</w:t>
            </w:r>
          </w:p>
        </w:tc>
        <w:tc>
          <w:tcPr>
            <w:tcW w:w="16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3. Segment Information</w:t>
            </w:r>
          </w:p>
        </w:tc>
        <w:tc>
          <w:tcPr>
            <w:tcW w:w="16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4. Receivables</w:t>
            </w:r>
          </w:p>
        </w:tc>
        <w:tc>
          <w:tcPr>
            <w:tcW w:w="16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5. Financing Receivables</w:t>
            </w:r>
          </w:p>
        </w:tc>
        <w:tc>
          <w:tcPr>
            <w:tcW w:w="16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6. Leases</w:t>
            </w:r>
          </w:p>
        </w:tc>
        <w:tc>
          <w:tcPr>
            <w:tcW w:w="16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7. Acquisitions, Goodwill, and Other Intangible Assets</w:t>
            </w:r>
          </w:p>
        </w:tc>
        <w:tc>
          <w:tcPr>
            <w:tcW w:w="16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8. Borrowings</w:t>
            </w:r>
          </w:p>
        </w:tc>
        <w:tc>
          <w:tcPr>
            <w:tcW w:w="16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9. Postretirement Benefit Plans</w:t>
            </w:r>
          </w:p>
        </w:tc>
        <w:tc>
          <w:tcPr>
            <w:tcW w:w="16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10. Income Taxes</w:t>
            </w:r>
          </w:p>
        </w:tc>
        <w:tc>
          <w:tcPr>
            <w:tcW w:w="16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11. Shareholders' Equity</w:t>
            </w:r>
          </w:p>
        </w:tc>
        <w:tc>
          <w:tcPr>
            <w:tcW w:w="16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12. Financial Instruments and Fair Value Measurements</w:t>
            </w:r>
          </w:p>
        </w:tc>
        <w:tc>
          <w:tcPr>
            <w:tcW w:w="16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13. Commitments, Guarantees, Product Warranties, and Other Loss Contingencies</w:t>
            </w:r>
          </w:p>
        </w:tc>
        <w:tc>
          <w:tcPr>
            <w:tcW w:w="16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14. Restructuring Activities</w:t>
            </w:r>
          </w:p>
        </w:tc>
        <w:tc>
          <w:tcPr>
            <w:tcW w:w="16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15. Earnings Per Share</w:t>
            </w:r>
          </w:p>
        </w:tc>
        <w:tc>
          <w:tcPr>
            <w:tcW w:w="16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57"/>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16. Supplemental Financial Information</w:t>
            </w:r>
          </w:p>
        </w:tc>
        <w:tc>
          <w:tcPr>
            <w:tcW w:w="16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56"/>
        </w:trPr>
        <w:tc>
          <w:tcPr>
            <w:tcW w:w="1060" w:type="dxa"/>
            <w:vAlign w:val="bottom"/>
          </w:tcPr>
          <w:p>
            <w:pPr>
              <w:spacing w:after="0"/>
              <w:rPr>
                <w:sz w:val="22"/>
                <w:szCs w:val="22"/>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Note 17. Subsequent Events</w:t>
            </w:r>
          </w:p>
        </w:tc>
        <w:tc>
          <w:tcPr>
            <w:tcW w:w="16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65"/>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2.</w:t>
            </w:r>
          </w:p>
        </w:tc>
        <w:tc>
          <w:tcPr>
            <w:tcW w:w="8540" w:type="dxa"/>
            <w:vAlign w:val="bottom"/>
          </w:tcPr>
          <w:p>
            <w:pPr>
              <w:ind w:left="200"/>
              <w:spacing w:after="0"/>
              <w:rPr>
                <w:sz w:val="20"/>
                <w:szCs w:val="20"/>
                <w:color w:val="auto"/>
              </w:rPr>
            </w:pPr>
            <w:r>
              <w:rPr>
                <w:rFonts w:ascii="Arial" w:cs="Arial" w:eastAsia="Arial" w:hAnsi="Arial"/>
                <w:sz w:val="16"/>
                <w:szCs w:val="16"/>
                <w:color w:val="auto"/>
              </w:rPr>
              <w:t>Management’s Discussion and Analysis of Financial Condition and Results of Operations (“MD&amp;A”)</w:t>
            </w:r>
          </w:p>
        </w:tc>
        <w:tc>
          <w:tcPr>
            <w:tcW w:w="16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49"/>
        </w:trPr>
        <w:tc>
          <w:tcPr>
            <w:tcW w:w="1060" w:type="dxa"/>
            <w:vAlign w:val="bottom"/>
          </w:tcPr>
          <w:p>
            <w:pPr>
              <w:spacing w:after="0"/>
              <w:rPr>
                <w:sz w:val="21"/>
                <w:szCs w:val="21"/>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Trends and Factors Impacting Our Performance</w:t>
            </w:r>
          </w:p>
        </w:tc>
        <w:tc>
          <w:tcPr>
            <w:tcW w:w="16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Summary of Key Performance Measures</w:t>
            </w:r>
          </w:p>
        </w:tc>
        <w:tc>
          <w:tcPr>
            <w:tcW w:w="16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Results of Operations</w:t>
            </w:r>
          </w:p>
        </w:tc>
        <w:tc>
          <w:tcPr>
            <w:tcW w:w="16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Results of Operations – Segments</w:t>
            </w:r>
          </w:p>
        </w:tc>
        <w:tc>
          <w:tcPr>
            <w:tcW w:w="16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Non-GAAP Financial Measures</w:t>
            </w:r>
          </w:p>
        </w:tc>
        <w:tc>
          <w:tcPr>
            <w:tcW w:w="16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Liquidity and Capital Resources</w:t>
            </w:r>
          </w:p>
        </w:tc>
        <w:tc>
          <w:tcPr>
            <w:tcW w:w="16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57"/>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Recently Issued Accounting Pronouncements</w:t>
            </w:r>
          </w:p>
        </w:tc>
        <w:tc>
          <w:tcPr>
            <w:tcW w:w="16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56"/>
        </w:trPr>
        <w:tc>
          <w:tcPr>
            <w:tcW w:w="1060" w:type="dxa"/>
            <w:vAlign w:val="bottom"/>
          </w:tcPr>
          <w:p>
            <w:pPr>
              <w:spacing w:after="0"/>
              <w:rPr>
                <w:sz w:val="22"/>
                <w:szCs w:val="22"/>
                <w:color w:val="auto"/>
              </w:rPr>
            </w:pPr>
          </w:p>
        </w:tc>
        <w:tc>
          <w:tcPr>
            <w:tcW w:w="8540" w:type="dxa"/>
            <w:vAlign w:val="bottom"/>
          </w:tcPr>
          <w:p>
            <w:pPr>
              <w:ind w:left="300"/>
              <w:spacing w:after="0"/>
              <w:rPr>
                <w:sz w:val="20"/>
                <w:szCs w:val="20"/>
                <w:color w:val="auto"/>
              </w:rPr>
            </w:pPr>
            <w:r>
              <w:rPr>
                <w:rFonts w:ascii="Arial" w:cs="Arial" w:eastAsia="Arial" w:hAnsi="Arial"/>
                <w:sz w:val="16"/>
                <w:szCs w:val="16"/>
                <w:color w:val="auto"/>
              </w:rPr>
              <w:t>Critical Accounting Estimates</w:t>
            </w:r>
          </w:p>
        </w:tc>
        <w:tc>
          <w:tcPr>
            <w:tcW w:w="16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65"/>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3.</w:t>
            </w:r>
          </w:p>
        </w:tc>
        <w:tc>
          <w:tcPr>
            <w:tcW w:w="854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about Market Risk</w:t>
            </w:r>
          </w:p>
        </w:tc>
        <w:tc>
          <w:tcPr>
            <w:tcW w:w="16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56"/>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4.</w:t>
            </w:r>
          </w:p>
        </w:tc>
        <w:tc>
          <w:tcPr>
            <w:tcW w:w="8540" w:type="dxa"/>
            <w:vAlign w:val="bottom"/>
          </w:tcPr>
          <w:p>
            <w:pPr>
              <w:ind w:left="200"/>
              <w:spacing w:after="0"/>
              <w:rPr>
                <w:sz w:val="20"/>
                <w:szCs w:val="20"/>
                <w:color w:val="auto"/>
              </w:rPr>
            </w:pPr>
            <w:r>
              <w:rPr>
                <w:rFonts w:ascii="Arial" w:cs="Arial" w:eastAsia="Arial" w:hAnsi="Arial"/>
                <w:sz w:val="16"/>
                <w:szCs w:val="16"/>
                <w:color w:val="auto"/>
              </w:rPr>
              <w:t>Controls and Procedures</w:t>
            </w:r>
          </w:p>
        </w:tc>
        <w:tc>
          <w:tcPr>
            <w:tcW w:w="16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65"/>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8540" w:type="dxa"/>
            <w:vAlign w:val="bottom"/>
          </w:tcPr>
          <w:p>
            <w:pPr>
              <w:ind w:left="200"/>
              <w:spacing w:after="0"/>
              <w:rPr>
                <w:sz w:val="20"/>
                <w:szCs w:val="20"/>
                <w:color w:val="auto"/>
              </w:rPr>
            </w:pPr>
            <w:r>
              <w:rPr>
                <w:rFonts w:ascii="Arial" w:cs="Arial" w:eastAsia="Arial" w:hAnsi="Arial"/>
                <w:sz w:val="16"/>
                <w:szCs w:val="16"/>
                <w:b w:val="1"/>
                <w:bCs w:val="1"/>
                <w:color w:val="auto"/>
              </w:rPr>
              <w:t>Other Information</w:t>
            </w:r>
          </w:p>
        </w:tc>
        <w:tc>
          <w:tcPr>
            <w:tcW w:w="1640" w:type="dxa"/>
            <w:vAlign w:val="bottom"/>
          </w:tcPr>
          <w:p>
            <w:pPr>
              <w:spacing w:after="0"/>
              <w:rPr>
                <w:sz w:val="24"/>
                <w:szCs w:val="24"/>
                <w:color w:val="auto"/>
              </w:rPr>
            </w:pPr>
          </w:p>
        </w:tc>
      </w:tr>
      <w:tr>
        <w:trPr>
          <w:trHeight w:val="21"/>
        </w:trPr>
        <w:tc>
          <w:tcPr>
            <w:tcW w:w="1060" w:type="dxa"/>
            <w:vAlign w:val="bottom"/>
            <w:tcBorders>
              <w:bottom w:val="single" w:sz="8" w:color="6022A6"/>
            </w:tcBorders>
          </w:tcPr>
          <w:p>
            <w:pPr>
              <w:spacing w:after="0" w:line="20" w:lineRule="exact"/>
              <w:rPr>
                <w:sz w:val="1"/>
                <w:szCs w:val="1"/>
                <w:color w:val="auto"/>
              </w:rPr>
            </w:pPr>
          </w:p>
        </w:tc>
        <w:tc>
          <w:tcPr>
            <w:tcW w:w="854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r>
      <w:tr>
        <w:trPr>
          <w:trHeight w:val="229"/>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w:t>
            </w:r>
          </w:p>
        </w:tc>
        <w:tc>
          <w:tcPr>
            <w:tcW w:w="8540" w:type="dxa"/>
            <w:vAlign w:val="bottom"/>
          </w:tcPr>
          <w:p>
            <w:pPr>
              <w:ind w:left="200"/>
              <w:spacing w:after="0"/>
              <w:rPr>
                <w:sz w:val="20"/>
                <w:szCs w:val="20"/>
                <w:color w:val="auto"/>
              </w:rPr>
            </w:pPr>
            <w:r>
              <w:rPr>
                <w:rFonts w:ascii="Arial" w:cs="Arial" w:eastAsia="Arial" w:hAnsi="Arial"/>
                <w:sz w:val="16"/>
                <w:szCs w:val="16"/>
                <w:color w:val="auto"/>
              </w:rPr>
              <w:t>Legal Proceedings</w:t>
            </w:r>
          </w:p>
        </w:tc>
        <w:tc>
          <w:tcPr>
            <w:tcW w:w="16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56"/>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1A.</w:t>
            </w:r>
          </w:p>
        </w:tc>
        <w:tc>
          <w:tcPr>
            <w:tcW w:w="8540" w:type="dxa"/>
            <w:vAlign w:val="bottom"/>
          </w:tcPr>
          <w:p>
            <w:pPr>
              <w:ind w:left="200"/>
              <w:spacing w:after="0"/>
              <w:rPr>
                <w:sz w:val="20"/>
                <w:szCs w:val="20"/>
                <w:color w:val="auto"/>
              </w:rPr>
            </w:pPr>
            <w:r>
              <w:rPr>
                <w:rFonts w:ascii="Arial" w:cs="Arial" w:eastAsia="Arial" w:hAnsi="Arial"/>
                <w:sz w:val="16"/>
                <w:szCs w:val="16"/>
                <w:color w:val="auto"/>
              </w:rPr>
              <w:t>Risk Factors</w:t>
            </w:r>
          </w:p>
        </w:tc>
        <w:tc>
          <w:tcPr>
            <w:tcW w:w="16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8540" w:type="dxa"/>
            <w:vAlign w:val="bottom"/>
          </w:tcPr>
          <w:p>
            <w:pPr>
              <w:ind w:left="200"/>
              <w:spacing w:after="0"/>
              <w:rPr>
                <w:sz w:val="20"/>
                <w:szCs w:val="20"/>
                <w:color w:val="auto"/>
              </w:rPr>
            </w:pPr>
            <w:r>
              <w:rPr>
                <w:rFonts w:ascii="Arial" w:cs="Arial" w:eastAsia="Arial" w:hAnsi="Arial"/>
                <w:sz w:val="16"/>
                <w:szCs w:val="16"/>
                <w:color w:val="auto"/>
              </w:rPr>
              <w:t>Unregistered Sales of Equity Securities and Use of Proceeds</w:t>
            </w:r>
          </w:p>
        </w:tc>
        <w:tc>
          <w:tcPr>
            <w:tcW w:w="16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3.</w:t>
            </w:r>
          </w:p>
        </w:tc>
        <w:tc>
          <w:tcPr>
            <w:tcW w:w="8540" w:type="dxa"/>
            <w:vAlign w:val="bottom"/>
          </w:tcPr>
          <w:p>
            <w:pPr>
              <w:ind w:left="200"/>
              <w:spacing w:after="0"/>
              <w:rPr>
                <w:sz w:val="20"/>
                <w:szCs w:val="20"/>
                <w:color w:val="auto"/>
              </w:rPr>
            </w:pPr>
            <w:r>
              <w:rPr>
                <w:rFonts w:ascii="Arial" w:cs="Arial" w:eastAsia="Arial" w:hAnsi="Arial"/>
                <w:sz w:val="16"/>
                <w:szCs w:val="16"/>
                <w:color w:val="auto"/>
              </w:rPr>
              <w:t>Defaults Upon Senior Securities</w:t>
            </w:r>
          </w:p>
        </w:tc>
        <w:tc>
          <w:tcPr>
            <w:tcW w:w="16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4.</w:t>
            </w:r>
          </w:p>
        </w:tc>
        <w:tc>
          <w:tcPr>
            <w:tcW w:w="8540" w:type="dxa"/>
            <w:vAlign w:val="bottom"/>
          </w:tcPr>
          <w:p>
            <w:pPr>
              <w:ind w:left="200"/>
              <w:spacing w:after="0"/>
              <w:rPr>
                <w:sz w:val="20"/>
                <w:szCs w:val="20"/>
                <w:color w:val="auto"/>
              </w:rPr>
            </w:pPr>
            <w:r>
              <w:rPr>
                <w:rFonts w:ascii="Arial" w:cs="Arial" w:eastAsia="Arial" w:hAnsi="Arial"/>
                <w:sz w:val="16"/>
                <w:szCs w:val="16"/>
                <w:color w:val="auto"/>
              </w:rPr>
              <w:t>Mine Safety Disclosures</w:t>
            </w:r>
          </w:p>
        </w:tc>
        <w:tc>
          <w:tcPr>
            <w:tcW w:w="16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5.</w:t>
            </w:r>
          </w:p>
        </w:tc>
        <w:tc>
          <w:tcPr>
            <w:tcW w:w="8540" w:type="dxa"/>
            <w:vAlign w:val="bottom"/>
          </w:tcPr>
          <w:p>
            <w:pPr>
              <w:ind w:left="200"/>
              <w:spacing w:after="0"/>
              <w:rPr>
                <w:sz w:val="20"/>
                <w:szCs w:val="20"/>
                <w:color w:val="auto"/>
              </w:rPr>
            </w:pPr>
            <w:r>
              <w:rPr>
                <w:rFonts w:ascii="Arial" w:cs="Arial" w:eastAsia="Arial" w:hAnsi="Arial"/>
                <w:sz w:val="16"/>
                <w:szCs w:val="16"/>
                <w:color w:val="auto"/>
              </w:rPr>
              <w:t>Other Information</w:t>
            </w:r>
          </w:p>
        </w:tc>
        <w:tc>
          <w:tcPr>
            <w:tcW w:w="16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6"/>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6.</w:t>
            </w:r>
          </w:p>
        </w:tc>
        <w:tc>
          <w:tcPr>
            <w:tcW w:w="8540" w:type="dxa"/>
            <w:vAlign w:val="bottom"/>
          </w:tcPr>
          <w:p>
            <w:pPr>
              <w:ind w:left="200"/>
              <w:spacing w:after="0"/>
              <w:rPr>
                <w:sz w:val="20"/>
                <w:szCs w:val="20"/>
                <w:color w:val="auto"/>
              </w:rPr>
            </w:pPr>
            <w:r>
              <w:rPr>
                <w:rFonts w:ascii="Arial" w:cs="Arial" w:eastAsia="Arial" w:hAnsi="Arial"/>
                <w:sz w:val="16"/>
                <w:szCs w:val="16"/>
                <w:color w:val="auto"/>
              </w:rPr>
              <w:t>Exhibits</w:t>
            </w:r>
          </w:p>
        </w:tc>
        <w:tc>
          <w:tcPr>
            <w:tcW w:w="16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Signatures</w:t>
            </w:r>
          </w:p>
        </w:tc>
        <w:tc>
          <w:tcPr>
            <w:tcW w:w="85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44</w:t>
            </w:r>
          </w:p>
        </w:tc>
      </w:tr>
    </w:tbl>
    <w:p>
      <w:pPr>
        <w:spacing w:after="0" w:line="200" w:lineRule="exact"/>
        <w:rPr>
          <w:sz w:val="20"/>
          <w:szCs w:val="20"/>
          <w:color w:val="auto"/>
        </w:rPr>
      </w:pPr>
    </w:p>
    <w:p>
      <w:pPr>
        <w:sectPr>
          <w:pgSz w:w="11900" w:h="16838" w:orient="portrait"/>
          <w:cols w:equalWidth="0" w:num="1">
            <w:col w:w="11240"/>
          </w:cols>
          <w:pgMar w:left="320" w:top="1151" w:right="339" w:bottom="8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835"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Quarterly Report on Form 10-Q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our business, financial performance, financial condition, and results of operations, including revenue, revenue growth, profit, taxes, earnings per share, and cash flows; the impacts of macroeconomic and market conditions, including the impact of tariffs and other trade restrictions, and volatility on our business, operations, financial results, and financial position and on supply chains and the world economy; our cost structure; our funding and liquidity; the impacts on our business of manufacturing, sourcing, and supply chain management; the Russia and Ukraine conflict; share repurchases; and risks related to foreign currency exchange, interest rates, and commodity price volatility. These forward-looking statements involve risks and uncertainties, many of which are beyond our control. Factors that could cause our actual results to differ materially from those described in our forward-looking statements include, but are not limited to, operating in highly competitive markets; global geopolitical and economic instability, including as a result of changes in trade and tariff policy, and international conflicts and tensions, including between Ukraine and Russia and in the Middle East; public health crises, epidemics, and pandemics, and their effects on our business; changes in third-party and government reimbursement processes, rates, and contractual relationships, including related to government shutdowns, and changes in the mix of public and private payers; demand for our products, services, or solutions and factors that affect that demand; developments in the market in China; our ability to control increases in healthcare costs and any subsequent effect on demand for our products, services, or solutions; our ability to successfully complete strategic transactions; the impacts related to our increasing focus on and investment in cloud, edge computing, artificial intelligence (“AI”), and software offerings; management of our supply chain and our ability to cost-effectively secure the materials we need to operate our business; disruptions in our operations; the actions or inactions of third parties with whom we partner and the various collaboration, licensing, and other partnerships and alliances we have with third parties; the impact of potential information technology, cybersecurity, or data security breaches; maintenance and protection of our intellectual property rights, as well as maintenance of successful research and development efforts with respect to commercially successful products and technologies; our ability to attract and/or retain key personnel and qualified employees; environmental, social, and governance matters; compliance with the various legal, regulatory, tax, privacy, and other laws to which we are subject, such as the Foreign Corrupt Practices Act and similar anti-corruption and anti-bribery laws globally, and related changes, claims, inquiries, investigations, or actions; the impact of potential product liability claims; and our level of indebtedness, as well as our general ability to comply with covenants under our debt instruments, and any related effect on our business. Please also see Item 1A, “Risk Factors” of our Annual Report on Form 10-K for the fiscal year ended December 31, 2024 filed with the United States Securities and Exchange Commission (“SEC”) and any updates or amendments we make in future filings. There may be other factors not presently known to us or which we currently consider to be immaterial that could cause our actual results to differ materially from those projected in any forward-looking statements we make. We do not undertake any obligation to update or revise our forward-looking statements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Income (Unaudited)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spacing w:after="0"/>
              <w:rPr>
                <w:sz w:val="19"/>
                <w:szCs w:val="19"/>
                <w:color w:val="auto"/>
              </w:rPr>
            </w:pPr>
          </w:p>
        </w:tc>
        <w:tc>
          <w:tcPr>
            <w:tcW w:w="2920" w:type="dxa"/>
            <w:vAlign w:val="bottom"/>
            <w:gridSpan w:val="5"/>
          </w:tcPr>
          <w:p>
            <w:pPr>
              <w:ind w:left="40"/>
              <w:spacing w:after="0"/>
              <w:rPr>
                <w:sz w:val="20"/>
                <w:szCs w:val="20"/>
                <w:color w:val="auto"/>
              </w:rPr>
            </w:pPr>
            <w:r>
              <w:rPr>
                <w:rFonts w:ascii="Arial" w:cs="Arial" w:eastAsia="Arial" w:hAnsi="Arial"/>
                <w:sz w:val="16"/>
                <w:szCs w:val="16"/>
                <w:b w:val="1"/>
                <w:bCs w:val="1"/>
                <w:color w:val="454545"/>
              </w:rPr>
              <w:t>For the three months ended June 30</w:t>
            </w:r>
          </w:p>
        </w:tc>
        <w:tc>
          <w:tcPr>
            <w:tcW w:w="120" w:type="dxa"/>
            <w:vAlign w:val="bottom"/>
          </w:tcPr>
          <w:p>
            <w:pPr>
              <w:spacing w:after="0"/>
              <w:rPr>
                <w:sz w:val="19"/>
                <w:szCs w:val="19"/>
                <w:color w:val="auto"/>
              </w:rPr>
            </w:pPr>
          </w:p>
        </w:tc>
        <w:tc>
          <w:tcPr>
            <w:tcW w:w="27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454545"/>
              </w:rPr>
              <w:t>For the six months ended June 30</w:t>
            </w:r>
          </w:p>
        </w:tc>
        <w:tc>
          <w:tcPr>
            <w:tcW w:w="0" w:type="dxa"/>
            <w:vAlign w:val="bottom"/>
          </w:tcPr>
          <w:p>
            <w:pPr>
              <w:spacing w:after="0"/>
              <w:rPr>
                <w:sz w:val="1"/>
                <w:szCs w:val="1"/>
                <w:color w:val="auto"/>
              </w:rPr>
            </w:pPr>
          </w:p>
        </w:tc>
      </w:tr>
      <w:tr>
        <w:trPr>
          <w:trHeight w:val="21"/>
        </w:trPr>
        <w:tc>
          <w:tcPr>
            <w:tcW w:w="54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3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480" w:type="dxa"/>
            <w:vAlign w:val="bottom"/>
            <w:tcBorders>
              <w:bottom w:val="single" w:sz="8" w:color="6022A6"/>
            </w:tcBorders>
            <w:vMerge w:val="continue"/>
          </w:tcPr>
          <w:p>
            <w:pPr>
              <w:spacing w:after="0"/>
              <w:rPr>
                <w:sz w:val="19"/>
                <w:szCs w:val="19"/>
                <w:color w:val="auto"/>
              </w:rPr>
            </w:pPr>
          </w:p>
        </w:tc>
        <w:tc>
          <w:tcPr>
            <w:tcW w:w="320" w:type="dxa"/>
            <w:vAlign w:val="bottom"/>
            <w:tcBorders>
              <w:bottom w:val="single" w:sz="8" w:color="6022A6"/>
            </w:tcBorders>
          </w:tcPr>
          <w:p>
            <w:pPr>
              <w:spacing w:after="0"/>
              <w:rPr>
                <w:sz w:val="19"/>
                <w:szCs w:val="19"/>
                <w:color w:val="auto"/>
              </w:rPr>
            </w:pPr>
          </w:p>
        </w:tc>
        <w:tc>
          <w:tcPr>
            <w:tcW w:w="110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2025</w:t>
            </w:r>
          </w:p>
        </w:tc>
        <w:tc>
          <w:tcPr>
            <w:tcW w:w="320" w:type="dxa"/>
            <w:vAlign w:val="bottom"/>
            <w:tcBorders>
              <w:bottom w:val="single" w:sz="8" w:color="6022A6"/>
            </w:tcBorders>
          </w:tcPr>
          <w:p>
            <w:pPr>
              <w:spacing w:after="0"/>
              <w:rPr>
                <w:sz w:val="19"/>
                <w:szCs w:val="19"/>
                <w:color w:val="auto"/>
              </w:rPr>
            </w:pPr>
          </w:p>
        </w:tc>
        <w:tc>
          <w:tcPr>
            <w:tcW w:w="110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80" w:type="dxa"/>
            <w:vAlign w:val="bottom"/>
            <w:tcBorders>
              <w:bottom w:val="single" w:sz="8" w:color="6022A6"/>
            </w:tcBorders>
          </w:tcPr>
          <w:p>
            <w:pPr>
              <w:spacing w:after="0"/>
              <w:rPr>
                <w:sz w:val="19"/>
                <w:szCs w:val="19"/>
                <w:color w:val="auto"/>
              </w:rPr>
            </w:pPr>
          </w:p>
        </w:tc>
        <w:tc>
          <w:tcPr>
            <w:tcW w:w="120" w:type="dxa"/>
            <w:vAlign w:val="bottom"/>
            <w:tcBorders>
              <w:bottom w:val="single" w:sz="8" w:color="6022A6"/>
            </w:tcBorders>
          </w:tcPr>
          <w:p>
            <w:pPr>
              <w:spacing w:after="0"/>
              <w:rPr>
                <w:sz w:val="19"/>
                <w:szCs w:val="19"/>
                <w:color w:val="auto"/>
              </w:rPr>
            </w:pPr>
          </w:p>
        </w:tc>
        <w:tc>
          <w:tcPr>
            <w:tcW w:w="130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2025</w:t>
            </w:r>
          </w:p>
        </w:tc>
        <w:tc>
          <w:tcPr>
            <w:tcW w:w="320" w:type="dxa"/>
            <w:vAlign w:val="bottom"/>
            <w:tcBorders>
              <w:bottom w:val="single" w:sz="8" w:color="6022A6"/>
            </w:tcBorders>
          </w:tcPr>
          <w:p>
            <w:pPr>
              <w:spacing w:after="0"/>
              <w:rPr>
                <w:sz w:val="19"/>
                <w:szCs w:val="19"/>
                <w:color w:val="auto"/>
              </w:rPr>
            </w:pPr>
          </w:p>
        </w:tc>
        <w:tc>
          <w:tcPr>
            <w:tcW w:w="110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0" w:type="dxa"/>
            <w:vAlign w:val="bottom"/>
          </w:tcPr>
          <w:p>
            <w:pPr>
              <w:spacing w:after="0"/>
              <w:rPr>
                <w:sz w:val="1"/>
                <w:szCs w:val="1"/>
                <w:color w:val="auto"/>
              </w:rPr>
            </w:pPr>
          </w:p>
        </w:tc>
      </w:tr>
      <w:tr>
        <w:trPr>
          <w:trHeight w:val="233"/>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of products</w:t>
            </w:r>
          </w:p>
        </w:tc>
        <w:tc>
          <w:tcPr>
            <w:tcW w:w="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3,263</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3,207</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6,380</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6,253</w:t>
            </w:r>
          </w:p>
        </w:tc>
        <w:tc>
          <w:tcPr>
            <w:tcW w:w="0" w:type="dxa"/>
            <w:vAlign w:val="bottom"/>
          </w:tcPr>
          <w:p>
            <w:pPr>
              <w:spacing w:after="0"/>
              <w:rPr>
                <w:sz w:val="1"/>
                <w:szCs w:val="1"/>
                <w:color w:val="auto"/>
              </w:rPr>
            </w:pPr>
          </w:p>
        </w:tc>
      </w:tr>
      <w:tr>
        <w:trPr>
          <w:trHeight w:val="227"/>
        </w:trPr>
        <w:tc>
          <w:tcPr>
            <w:tcW w:w="548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1,743</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3,404</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3,237</w:t>
            </w:r>
          </w:p>
        </w:tc>
        <w:tc>
          <w:tcPr>
            <w:tcW w:w="0" w:type="dxa"/>
            <w:vAlign w:val="bottom"/>
          </w:tcPr>
          <w:p>
            <w:pPr>
              <w:spacing w:after="0"/>
              <w:rPr>
                <w:sz w:val="1"/>
                <w:szCs w:val="1"/>
                <w:color w:val="auto"/>
              </w:rPr>
            </w:pPr>
          </w:p>
        </w:tc>
      </w:tr>
      <w:tr>
        <w:trPr>
          <w:trHeight w:val="29"/>
        </w:trPr>
        <w:tc>
          <w:tcPr>
            <w:tcW w:w="5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5,007</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4,839</w:t>
            </w:r>
          </w:p>
        </w:tc>
        <w:tc>
          <w:tcPr>
            <w:tcW w:w="8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9,784</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9,489</w:t>
            </w:r>
          </w:p>
        </w:tc>
        <w:tc>
          <w:tcPr>
            <w:tcW w:w="0" w:type="dxa"/>
            <w:vAlign w:val="bottom"/>
          </w:tcPr>
          <w:p>
            <w:pPr>
              <w:spacing w:after="0"/>
              <w:rPr>
                <w:sz w:val="1"/>
                <w:szCs w:val="1"/>
                <w:color w:val="auto"/>
              </w:rPr>
            </w:pPr>
          </w:p>
        </w:tc>
      </w:tr>
      <w:tr>
        <w:trPr>
          <w:trHeight w:val="221"/>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2,160</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2,045</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4,122</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4,012</w:t>
            </w:r>
          </w:p>
        </w:tc>
        <w:tc>
          <w:tcPr>
            <w:tcW w:w="0" w:type="dxa"/>
            <w:vAlign w:val="bottom"/>
          </w:tcPr>
          <w:p>
            <w:pPr>
              <w:spacing w:after="0"/>
              <w:rPr>
                <w:sz w:val="1"/>
                <w:szCs w:val="1"/>
                <w:color w:val="auto"/>
              </w:rPr>
            </w:pPr>
          </w:p>
        </w:tc>
      </w:tr>
      <w:tr>
        <w:trPr>
          <w:trHeight w:val="29"/>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Cost of services</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863</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792</w:t>
            </w:r>
          </w:p>
        </w:tc>
        <w:tc>
          <w:tcPr>
            <w:tcW w:w="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1,665</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1,574</w:t>
            </w:r>
          </w:p>
        </w:tc>
        <w:tc>
          <w:tcPr>
            <w:tcW w:w="0" w:type="dxa"/>
            <w:vAlign w:val="bottom"/>
          </w:tcPr>
          <w:p>
            <w:pPr>
              <w:spacing w:after="0"/>
              <w:rPr>
                <w:sz w:val="1"/>
                <w:szCs w:val="1"/>
                <w:color w:val="auto"/>
              </w:rPr>
            </w:pP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1,985</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2,002</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3,997</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3,904</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1,029</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1,067</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2,069</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228"/>
        </w:trPr>
        <w:tc>
          <w:tcPr>
            <w:tcW w:w="54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646</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9"/>
        </w:trPr>
        <w:tc>
          <w:tcPr>
            <w:tcW w:w="5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1,331</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1,395</w:t>
            </w:r>
          </w:p>
        </w:tc>
        <w:tc>
          <w:tcPr>
            <w:tcW w:w="8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2,714</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2,756</w:t>
            </w:r>
          </w:p>
        </w:tc>
        <w:tc>
          <w:tcPr>
            <w:tcW w:w="0" w:type="dxa"/>
            <w:vAlign w:val="bottom"/>
          </w:tcPr>
          <w:p>
            <w:pPr>
              <w:spacing w:after="0"/>
              <w:rPr>
                <w:sz w:val="1"/>
                <w:szCs w:val="1"/>
                <w:color w:val="auto"/>
              </w:rPr>
            </w:pP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654</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608</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1,283</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1,148</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224</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27"/>
        </w:trPr>
        <w:tc>
          <w:tcPr>
            <w:tcW w:w="5480" w:type="dxa"/>
            <w:vAlign w:val="bottom"/>
          </w:tcPr>
          <w:p>
            <w:pPr>
              <w:ind w:left="20"/>
              <w:spacing w:after="0"/>
              <w:rPr>
                <w:sz w:val="20"/>
                <w:szCs w:val="20"/>
                <w:color w:val="auto"/>
              </w:rPr>
            </w:pPr>
            <w:r>
              <w:rPr>
                <w:rFonts w:ascii="Arial" w:cs="Arial" w:eastAsia="Arial" w:hAnsi="Arial"/>
                <w:sz w:val="16"/>
                <w:szCs w:val="16"/>
                <w:color w:val="auto"/>
              </w:rPr>
              <w:t>Non-operating benefit (income)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(148)</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9"/>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(income) expense – net</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(98)</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613</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578</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1,304</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1,090</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(143)</w:t>
            </w:r>
          </w:p>
        </w:tc>
        <w:tc>
          <w:tcPr>
            <w:tcW w:w="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(216)</w:t>
            </w:r>
          </w:p>
        </w:tc>
        <w:tc>
          <w:tcPr>
            <w:tcW w:w="32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500</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435</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1,088</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823</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4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spacing w:after="0"/>
              <w:rPr>
                <w:sz w:val="21"/>
                <w:szCs w:val="21"/>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32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9"/>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486</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428</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1,049</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802</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E4E4E4"/>
          </w:tcPr>
          <w:p>
            <w:pPr>
              <w:spacing w:after="0"/>
              <w:rPr>
                <w:sz w:val="17"/>
                <w:szCs w:val="17"/>
                <w:color w:val="auto"/>
              </w:rPr>
            </w:pPr>
          </w:p>
        </w:tc>
        <w:tc>
          <w:tcPr>
            <w:tcW w:w="320" w:type="dxa"/>
            <w:vAlign w:val="bottom"/>
            <w:shd w:val="clear" w:color="auto" w:fill="E4E4E4"/>
          </w:tcPr>
          <w:p>
            <w:pPr>
              <w:spacing w:after="0"/>
              <w:rPr>
                <w:sz w:val="17"/>
                <w:szCs w:val="17"/>
                <w:color w:val="auto"/>
              </w:rPr>
            </w:pPr>
          </w:p>
        </w:tc>
        <w:tc>
          <w:tcPr>
            <w:tcW w:w="1100" w:type="dxa"/>
            <w:vAlign w:val="bottom"/>
            <w:shd w:val="clear" w:color="auto" w:fill="E4E4E4"/>
          </w:tcPr>
          <w:p>
            <w:pPr>
              <w:spacing w:after="0"/>
              <w:rPr>
                <w:sz w:val="17"/>
                <w:szCs w:val="17"/>
                <w:color w:val="auto"/>
              </w:rPr>
            </w:pPr>
          </w:p>
        </w:tc>
        <w:tc>
          <w:tcPr>
            <w:tcW w:w="320" w:type="dxa"/>
            <w:vAlign w:val="bottom"/>
            <w:shd w:val="clear" w:color="auto" w:fill="E4E4E4"/>
          </w:tcPr>
          <w:p>
            <w:pPr>
              <w:spacing w:after="0"/>
              <w:rPr>
                <w:sz w:val="17"/>
                <w:szCs w:val="17"/>
                <w:color w:val="auto"/>
              </w:rPr>
            </w:pPr>
          </w:p>
        </w:tc>
        <w:tc>
          <w:tcPr>
            <w:tcW w:w="110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1300" w:type="dxa"/>
            <w:vAlign w:val="bottom"/>
            <w:shd w:val="clear" w:color="auto" w:fill="E4E4E4"/>
          </w:tcPr>
          <w:p>
            <w:pPr>
              <w:spacing w:after="0"/>
              <w:rPr>
                <w:sz w:val="17"/>
                <w:szCs w:val="17"/>
                <w:color w:val="auto"/>
              </w:rPr>
            </w:pPr>
          </w:p>
        </w:tc>
        <w:tc>
          <w:tcPr>
            <w:tcW w:w="320" w:type="dxa"/>
            <w:vAlign w:val="bottom"/>
            <w:shd w:val="clear" w:color="auto" w:fill="E4E4E4"/>
          </w:tcPr>
          <w:p>
            <w:pPr>
              <w:spacing w:after="0"/>
              <w:rPr>
                <w:sz w:val="17"/>
                <w:szCs w:val="17"/>
                <w:color w:val="auto"/>
              </w:rPr>
            </w:pPr>
          </w:p>
        </w:tc>
        <w:tc>
          <w:tcPr>
            <w:tcW w:w="110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Earnings per share attributable to GE HealthCare: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1.06</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0.94</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2.30</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28"/>
        </w:trPr>
        <w:tc>
          <w:tcPr>
            <w:tcW w:w="5480" w:type="dxa"/>
            <w:vAlign w:val="bottom"/>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2.29</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9"/>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Weighted-average number of shares outstanding:</w:t>
            </w:r>
          </w:p>
        </w:tc>
        <w:tc>
          <w:tcPr>
            <w:tcW w:w="32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30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480" w:type="dxa"/>
            <w:vAlign w:val="bottom"/>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457</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457</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9"/>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8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458</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459</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459</w:t>
            </w:r>
          </w:p>
        </w:tc>
        <w:tc>
          <w:tcPr>
            <w:tcW w:w="32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0"/>
        </w:trPr>
        <w:tc>
          <w:tcPr>
            <w:tcW w:w="5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920" w:type="dxa"/>
            <w:vAlign w:val="bottom"/>
            <w:gridSpan w:val="3"/>
          </w:tcPr>
          <w:p>
            <w:pPr>
              <w:ind w:left="20"/>
              <w:spacing w:after="0"/>
              <w:rPr>
                <w:sz w:val="20"/>
                <w:szCs w:val="20"/>
                <w:color w:val="auto"/>
              </w:rPr>
            </w:pPr>
            <w:r>
              <w:rPr>
                <w:rFonts w:ascii="Arial" w:cs="Arial" w:eastAsia="Arial" w:hAnsi="Arial"/>
                <w:sz w:val="16"/>
                <w:szCs w:val="16"/>
                <w:b w:val="1"/>
                <w:bCs w:val="1"/>
                <w:color w:val="auto"/>
              </w:rPr>
              <w:t>Condensed Consolidated Statements of Comprehensive Income (Loss) (Unaudited)</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4"/>
          </w:tcPr>
          <w:p>
            <w:pPr>
              <w:spacing w:after="0"/>
              <w:rPr>
                <w:sz w:val="20"/>
                <w:szCs w:val="20"/>
                <w:color w:val="auto"/>
              </w:rPr>
            </w:pPr>
            <w:r>
              <w:rPr>
                <w:rFonts w:ascii="Arial" w:cs="Arial" w:eastAsia="Arial" w:hAnsi="Arial"/>
                <w:sz w:val="16"/>
                <w:szCs w:val="16"/>
                <w:b w:val="1"/>
                <w:bCs w:val="1"/>
                <w:color w:val="454545"/>
              </w:rPr>
              <w:t>For the three months ended June</w:t>
            </w:r>
          </w:p>
        </w:tc>
        <w:tc>
          <w:tcPr>
            <w:tcW w:w="280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454545"/>
              </w:rPr>
              <w:t>For the six months ended June 30</w:t>
            </w:r>
          </w:p>
        </w:tc>
        <w:tc>
          <w:tcPr>
            <w:tcW w:w="0" w:type="dxa"/>
            <w:vAlign w:val="bottom"/>
          </w:tcPr>
          <w:p>
            <w:pPr>
              <w:spacing w:after="0"/>
              <w:rPr>
                <w:sz w:val="1"/>
                <w:szCs w:val="1"/>
                <w:color w:val="auto"/>
              </w:rPr>
            </w:pPr>
          </w:p>
        </w:tc>
      </w:tr>
      <w:tr>
        <w:trPr>
          <w:trHeight w:val="115"/>
        </w:trPr>
        <w:tc>
          <w:tcPr>
            <w:tcW w:w="5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gridSpan w:val="2"/>
            <w:vMerge w:val="restart"/>
          </w:tcPr>
          <w:p>
            <w:pPr>
              <w:jc w:val="right"/>
              <w:ind w:right="139"/>
              <w:spacing w:after="0"/>
              <w:rPr>
                <w:sz w:val="20"/>
                <w:szCs w:val="20"/>
                <w:color w:val="auto"/>
              </w:rPr>
            </w:pPr>
            <w:r>
              <w:rPr>
                <w:rFonts w:ascii="Arial" w:cs="Arial" w:eastAsia="Arial" w:hAnsi="Arial"/>
                <w:sz w:val="16"/>
                <w:szCs w:val="16"/>
                <w:b w:val="1"/>
                <w:bCs w:val="1"/>
                <w:color w:val="454545"/>
              </w:rPr>
              <w:t>30</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540" w:type="dxa"/>
            <w:vAlign w:val="bottom"/>
          </w:tcPr>
          <w:p>
            <w:pPr>
              <w:spacing w:after="0"/>
              <w:rPr>
                <w:sz w:val="9"/>
                <w:szCs w:val="9"/>
                <w:color w:val="auto"/>
              </w:rPr>
            </w:pPr>
          </w:p>
        </w:tc>
        <w:tc>
          <w:tcPr>
            <w:tcW w:w="100" w:type="dxa"/>
            <w:vAlign w:val="bottom"/>
            <w:tcBorders>
              <w:bottom w:val="single" w:sz="8" w:color="454545"/>
            </w:tcBorders>
          </w:tcPr>
          <w:p>
            <w:pPr>
              <w:spacing w:after="0"/>
              <w:rPr>
                <w:sz w:val="9"/>
                <w:szCs w:val="9"/>
                <w:color w:val="auto"/>
              </w:rPr>
            </w:pPr>
          </w:p>
        </w:tc>
        <w:tc>
          <w:tcPr>
            <w:tcW w:w="1600" w:type="dxa"/>
            <w:vAlign w:val="bottom"/>
            <w:tcBorders>
              <w:bottom w:val="single" w:sz="8" w:color="454545"/>
            </w:tcBorders>
            <w:gridSpan w:val="2"/>
            <w:vMerge w:val="continue"/>
          </w:tcPr>
          <w:p>
            <w:pPr>
              <w:spacing w:after="0"/>
              <w:rPr>
                <w:sz w:val="9"/>
                <w:szCs w:val="9"/>
                <w:color w:val="auto"/>
              </w:rPr>
            </w:pPr>
          </w:p>
        </w:tc>
        <w:tc>
          <w:tcPr>
            <w:tcW w:w="1080" w:type="dxa"/>
            <w:vAlign w:val="bottom"/>
            <w:tcBorders>
              <w:bottom w:val="single" w:sz="8" w:color="454545"/>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bottom w:val="single" w:sz="8" w:color="454545"/>
            </w:tcBorders>
          </w:tcPr>
          <w:p>
            <w:pPr>
              <w:spacing w:after="0"/>
              <w:rPr>
                <w:sz w:val="9"/>
                <w:szCs w:val="9"/>
                <w:color w:val="auto"/>
              </w:rPr>
            </w:pPr>
          </w:p>
        </w:tc>
        <w:tc>
          <w:tcPr>
            <w:tcW w:w="1080" w:type="dxa"/>
            <w:vAlign w:val="bottom"/>
            <w:tcBorders>
              <w:bottom w:val="single" w:sz="8" w:color="454545"/>
            </w:tcBorders>
          </w:tcPr>
          <w:p>
            <w:pPr>
              <w:spacing w:after="0"/>
              <w:rPr>
                <w:sz w:val="9"/>
                <w:szCs w:val="9"/>
                <w:color w:val="auto"/>
              </w:rPr>
            </w:pPr>
          </w:p>
        </w:tc>
        <w:tc>
          <w:tcPr>
            <w:tcW w:w="320" w:type="dxa"/>
            <w:vAlign w:val="bottom"/>
            <w:tcBorders>
              <w:bottom w:val="single" w:sz="8" w:color="454545"/>
            </w:tcBorders>
          </w:tcPr>
          <w:p>
            <w:pPr>
              <w:spacing w:after="0"/>
              <w:rPr>
                <w:sz w:val="9"/>
                <w:szCs w:val="9"/>
                <w:color w:val="auto"/>
              </w:rPr>
            </w:pPr>
          </w:p>
        </w:tc>
        <w:tc>
          <w:tcPr>
            <w:tcW w:w="1080" w:type="dxa"/>
            <w:vAlign w:val="bottom"/>
            <w:tcBorders>
              <w:bottom w:val="single" w:sz="8" w:color="454545"/>
            </w:tcBorders>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554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 net of tax)</w:t>
            </w:r>
          </w:p>
        </w:tc>
        <w:tc>
          <w:tcPr>
            <w:tcW w:w="100" w:type="dxa"/>
            <w:vAlign w:val="bottom"/>
            <w:tcBorders>
              <w:bottom w:val="single" w:sz="8" w:color="6022A6"/>
            </w:tcBorders>
          </w:tcPr>
          <w:p>
            <w:pPr>
              <w:spacing w:after="0"/>
              <w:rPr>
                <w:sz w:val="19"/>
                <w:szCs w:val="19"/>
                <w:color w:val="auto"/>
              </w:rPr>
            </w:pPr>
          </w:p>
        </w:tc>
        <w:tc>
          <w:tcPr>
            <w:tcW w:w="1280" w:type="dxa"/>
            <w:vAlign w:val="bottom"/>
            <w:tcBorders>
              <w:bottom w:val="single" w:sz="8" w:color="6022A6"/>
            </w:tcBorders>
          </w:tcPr>
          <w:p>
            <w:pPr>
              <w:jc w:val="right"/>
              <w:ind w:right="419"/>
              <w:spacing w:after="0"/>
              <w:rPr>
                <w:sz w:val="20"/>
                <w:szCs w:val="20"/>
                <w:color w:val="auto"/>
              </w:rPr>
            </w:pPr>
            <w:r>
              <w:rPr>
                <w:rFonts w:ascii="Arial" w:cs="Arial" w:eastAsia="Arial" w:hAnsi="Arial"/>
                <w:sz w:val="16"/>
                <w:szCs w:val="16"/>
                <w:b w:val="1"/>
                <w:bCs w:val="1"/>
                <w:color w:val="454545"/>
              </w:rPr>
              <w:t>2025</w:t>
            </w:r>
          </w:p>
        </w:tc>
        <w:tc>
          <w:tcPr>
            <w:tcW w:w="320" w:type="dxa"/>
            <w:vAlign w:val="bottom"/>
            <w:tcBorders>
              <w:bottom w:val="single" w:sz="8" w:color="6022A6"/>
            </w:tcBorders>
          </w:tcPr>
          <w:p>
            <w:pPr>
              <w:spacing w:after="0"/>
              <w:rPr>
                <w:sz w:val="19"/>
                <w:szCs w:val="19"/>
                <w:color w:val="auto"/>
              </w:rPr>
            </w:pPr>
          </w:p>
        </w:tc>
        <w:tc>
          <w:tcPr>
            <w:tcW w:w="108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80" w:type="dxa"/>
            <w:vAlign w:val="bottom"/>
            <w:tcBorders>
              <w:bottom w:val="single" w:sz="8" w:color="6022A6"/>
            </w:tcBorders>
          </w:tcPr>
          <w:p>
            <w:pPr>
              <w:spacing w:after="0"/>
              <w:rPr>
                <w:sz w:val="19"/>
                <w:szCs w:val="19"/>
                <w:color w:val="auto"/>
              </w:rPr>
            </w:pPr>
          </w:p>
        </w:tc>
        <w:tc>
          <w:tcPr>
            <w:tcW w:w="320" w:type="dxa"/>
            <w:vAlign w:val="bottom"/>
            <w:tcBorders>
              <w:bottom w:val="single" w:sz="8" w:color="6022A6"/>
            </w:tcBorders>
          </w:tcPr>
          <w:p>
            <w:pPr>
              <w:spacing w:after="0"/>
              <w:rPr>
                <w:sz w:val="19"/>
                <w:szCs w:val="19"/>
                <w:color w:val="auto"/>
              </w:rPr>
            </w:pPr>
          </w:p>
        </w:tc>
        <w:tc>
          <w:tcPr>
            <w:tcW w:w="108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2025</w:t>
            </w:r>
          </w:p>
        </w:tc>
        <w:tc>
          <w:tcPr>
            <w:tcW w:w="320" w:type="dxa"/>
            <w:vAlign w:val="bottom"/>
            <w:tcBorders>
              <w:bottom w:val="single" w:sz="8" w:color="6022A6"/>
            </w:tcBorders>
          </w:tcPr>
          <w:p>
            <w:pPr>
              <w:spacing w:after="0"/>
              <w:rPr>
                <w:sz w:val="19"/>
                <w:szCs w:val="19"/>
                <w:color w:val="auto"/>
              </w:rPr>
            </w:pPr>
          </w:p>
        </w:tc>
        <w:tc>
          <w:tcPr>
            <w:tcW w:w="108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0" w:type="dxa"/>
            <w:vAlign w:val="bottom"/>
          </w:tcPr>
          <w:p>
            <w:pPr>
              <w:spacing w:after="0"/>
              <w:rPr>
                <w:sz w:val="1"/>
                <w:szCs w:val="1"/>
                <w:color w:val="auto"/>
              </w:rPr>
            </w:pPr>
          </w:p>
        </w:tc>
      </w:tr>
      <w:tr>
        <w:trPr>
          <w:trHeight w:val="233"/>
        </w:trPr>
        <w:tc>
          <w:tcPr>
            <w:tcW w:w="5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486</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428</w:t>
            </w:r>
          </w:p>
        </w:tc>
        <w:tc>
          <w:tcPr>
            <w:tcW w:w="8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1,049</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802</w:t>
            </w:r>
          </w:p>
        </w:tc>
        <w:tc>
          <w:tcPr>
            <w:tcW w:w="0" w:type="dxa"/>
            <w:vAlign w:val="bottom"/>
          </w:tcPr>
          <w:p>
            <w:pPr>
              <w:spacing w:after="0"/>
              <w:rPr>
                <w:sz w:val="1"/>
                <w:szCs w:val="1"/>
                <w:color w:val="auto"/>
              </w:rPr>
            </w:pPr>
          </w:p>
        </w:tc>
      </w:tr>
      <w:tr>
        <w:trPr>
          <w:trHeight w:val="228"/>
        </w:trPr>
        <w:tc>
          <w:tcPr>
            <w:tcW w:w="554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9"/>
        </w:trPr>
        <w:tc>
          <w:tcPr>
            <w:tcW w:w="5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100" w:type="dxa"/>
            <w:vAlign w:val="bottom"/>
            <w:tcBorders>
              <w:bottom w:val="single" w:sz="8" w:color="E4E4E4"/>
            </w:tcBorders>
            <w:shd w:val="clear" w:color="auto" w:fill="E4E4E4"/>
          </w:tcPr>
          <w:p>
            <w:pPr>
              <w:spacing w:after="0"/>
              <w:rPr>
                <w:sz w:val="21"/>
                <w:szCs w:val="21"/>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500</w:t>
            </w: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435</w:t>
            </w:r>
          </w:p>
        </w:tc>
        <w:tc>
          <w:tcPr>
            <w:tcW w:w="80" w:type="dxa"/>
            <w:vAlign w:val="bottom"/>
            <w:tcBorders>
              <w:bottom w:val="single" w:sz="8" w:color="E4E4E4"/>
            </w:tcBorders>
            <w:shd w:val="clear" w:color="auto" w:fill="E4E4E4"/>
          </w:tcPr>
          <w:p>
            <w:pPr>
              <w:spacing w:after="0"/>
              <w:rPr>
                <w:sz w:val="21"/>
                <w:szCs w:val="21"/>
                <w:color w:val="auto"/>
              </w:rPr>
            </w:pP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1,088</w:t>
            </w: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823</w:t>
            </w:r>
          </w:p>
        </w:tc>
        <w:tc>
          <w:tcPr>
            <w:tcW w:w="0" w:type="dxa"/>
            <w:vAlign w:val="bottom"/>
          </w:tcPr>
          <w:p>
            <w:pPr>
              <w:spacing w:after="0"/>
              <w:rPr>
                <w:sz w:val="1"/>
                <w:szCs w:val="1"/>
                <w:color w:val="auto"/>
              </w:rPr>
            </w:pPr>
          </w:p>
        </w:tc>
      </w:tr>
      <w:tr>
        <w:trPr>
          <w:trHeight w:val="220"/>
        </w:trPr>
        <w:tc>
          <w:tcPr>
            <w:tcW w:w="5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Currency translation adjustments – net of taxes</w:t>
            </w:r>
          </w:p>
        </w:tc>
        <w:tc>
          <w:tcPr>
            <w:tcW w:w="1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221</w:t>
            </w:r>
          </w:p>
        </w:tc>
        <w:tc>
          <w:tcPr>
            <w:tcW w:w="32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478</w:t>
            </w:r>
          </w:p>
        </w:tc>
        <w:tc>
          <w:tcPr>
            <w:tcW w:w="32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27"/>
        </w:trPr>
        <w:tc>
          <w:tcPr>
            <w:tcW w:w="5540" w:type="dxa"/>
            <w:vAlign w:val="bottom"/>
          </w:tcPr>
          <w:p>
            <w:pPr>
              <w:ind w:left="20"/>
              <w:spacing w:after="0"/>
              <w:rPr>
                <w:sz w:val="20"/>
                <w:szCs w:val="20"/>
                <w:color w:val="auto"/>
              </w:rPr>
            </w:pPr>
            <w:r>
              <w:rPr>
                <w:rFonts w:ascii="Arial" w:cs="Arial" w:eastAsia="Arial" w:hAnsi="Arial"/>
                <w:sz w:val="16"/>
                <w:szCs w:val="16"/>
                <w:color w:val="auto"/>
              </w:rPr>
              <w:t>Pension and Other Postretirement Plans – net of taxes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9"/>
        </w:trPr>
        <w:tc>
          <w:tcPr>
            <w:tcW w:w="5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 – net of taxes</w:t>
            </w:r>
          </w:p>
        </w:tc>
        <w:tc>
          <w:tcPr>
            <w:tcW w:w="100" w:type="dxa"/>
            <w:vAlign w:val="bottom"/>
            <w:tcBorders>
              <w:bottom w:val="single" w:sz="8" w:color="E4E4E4"/>
            </w:tcBorders>
            <w:shd w:val="clear" w:color="auto" w:fill="E4E4E4"/>
          </w:tcPr>
          <w:p>
            <w:pPr>
              <w:spacing w:after="0"/>
              <w:rPr>
                <w:sz w:val="22"/>
                <w:szCs w:val="22"/>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32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E4E4E4"/>
            </w:tcBorders>
            <w:shd w:val="clear" w:color="auto" w:fill="E4E4E4"/>
          </w:tcPr>
          <w:p>
            <w:pPr>
              <w:spacing w:after="0"/>
              <w:rPr>
                <w:sz w:val="22"/>
                <w:szCs w:val="22"/>
                <w:color w:val="auto"/>
              </w:rPr>
            </w:pPr>
          </w:p>
        </w:tc>
        <w:tc>
          <w:tcPr>
            <w:tcW w:w="32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32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9"/>
        </w:trPr>
        <w:tc>
          <w:tcPr>
            <w:tcW w:w="5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108</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288</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(154)</w:t>
            </w:r>
          </w:p>
        </w:tc>
        <w:tc>
          <w:tcPr>
            <w:tcW w:w="0" w:type="dxa"/>
            <w:vAlign w:val="bottom"/>
          </w:tcPr>
          <w:p>
            <w:pPr>
              <w:spacing w:after="0"/>
              <w:rPr>
                <w:sz w:val="1"/>
                <w:szCs w:val="1"/>
                <w:color w:val="auto"/>
              </w:rPr>
            </w:pPr>
          </w:p>
        </w:tc>
      </w:tr>
      <w:tr>
        <w:trPr>
          <w:trHeight w:val="21"/>
        </w:trPr>
        <w:tc>
          <w:tcPr>
            <w:tcW w:w="5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100" w:type="dxa"/>
            <w:vAlign w:val="bottom"/>
            <w:tcBorders>
              <w:bottom w:val="single" w:sz="8" w:color="E4E4E4"/>
            </w:tcBorders>
            <w:shd w:val="clear" w:color="auto" w:fill="E4E4E4"/>
          </w:tcPr>
          <w:p>
            <w:pPr>
              <w:spacing w:after="0"/>
              <w:rPr>
                <w:sz w:val="21"/>
                <w:szCs w:val="21"/>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608</w:t>
            </w: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377</w:t>
            </w:r>
          </w:p>
        </w:tc>
        <w:tc>
          <w:tcPr>
            <w:tcW w:w="80" w:type="dxa"/>
            <w:vAlign w:val="bottom"/>
            <w:tcBorders>
              <w:bottom w:val="single" w:sz="8" w:color="E4E4E4"/>
            </w:tcBorders>
            <w:shd w:val="clear" w:color="auto" w:fill="E4E4E4"/>
          </w:tcPr>
          <w:p>
            <w:pPr>
              <w:spacing w:after="0"/>
              <w:rPr>
                <w:sz w:val="21"/>
                <w:szCs w:val="21"/>
                <w:color w:val="auto"/>
              </w:rPr>
            </w:pP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1,376</w:t>
            </w: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669</w:t>
            </w:r>
          </w:p>
        </w:tc>
        <w:tc>
          <w:tcPr>
            <w:tcW w:w="0" w:type="dxa"/>
            <w:vAlign w:val="bottom"/>
          </w:tcPr>
          <w:p>
            <w:pPr>
              <w:spacing w:after="0"/>
              <w:rPr>
                <w:sz w:val="1"/>
                <w:szCs w:val="1"/>
                <w:color w:val="auto"/>
              </w:rPr>
            </w:pPr>
          </w:p>
        </w:tc>
      </w:tr>
      <w:tr>
        <w:trPr>
          <w:trHeight w:val="221"/>
        </w:trPr>
        <w:tc>
          <w:tcPr>
            <w:tcW w:w="55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9"/>
        </w:trPr>
        <w:tc>
          <w:tcPr>
            <w:tcW w:w="5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attributable to GE HealthCare</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594</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370</w:t>
            </w:r>
          </w:p>
        </w:tc>
        <w:tc>
          <w:tcPr>
            <w:tcW w:w="8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1,338</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648</w:t>
            </w:r>
          </w:p>
        </w:tc>
        <w:tc>
          <w:tcPr>
            <w:tcW w:w="0" w:type="dxa"/>
            <w:vAlign w:val="bottom"/>
          </w:tcPr>
          <w:p>
            <w:pPr>
              <w:spacing w:after="0"/>
              <w:rPr>
                <w:sz w:val="1"/>
                <w:szCs w:val="1"/>
                <w:color w:val="auto"/>
              </w:rPr>
            </w:pPr>
          </w:p>
        </w:tc>
      </w:tr>
      <w:tr>
        <w:trPr>
          <w:trHeight w:val="20"/>
        </w:trPr>
        <w:tc>
          <w:tcPr>
            <w:tcW w:w="5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Financial Position (Unaudited)</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gridSpan w:val="3"/>
          </w:tcPr>
          <w:p>
            <w:pPr>
              <w:jc w:val="right"/>
              <w:ind w:right="1399"/>
              <w:spacing w:after="0"/>
              <w:rPr>
                <w:sz w:val="20"/>
                <w:szCs w:val="20"/>
                <w:color w:val="auto"/>
              </w:rPr>
            </w:pPr>
            <w:r>
              <w:rPr>
                <w:rFonts w:ascii="Arial" w:cs="Arial" w:eastAsia="Arial" w:hAnsi="Arial"/>
                <w:sz w:val="16"/>
                <w:szCs w:val="16"/>
                <w:b w:val="1"/>
                <w:bCs w:val="1"/>
                <w:color w:val="454545"/>
              </w:rPr>
              <w:t>As of</w:t>
            </w:r>
          </w:p>
        </w:tc>
        <w:tc>
          <w:tcPr>
            <w:tcW w:w="0" w:type="dxa"/>
            <w:vAlign w:val="bottom"/>
          </w:tcPr>
          <w:p>
            <w:pPr>
              <w:spacing w:after="0"/>
              <w:rPr>
                <w:sz w:val="1"/>
                <w:szCs w:val="1"/>
                <w:color w:val="auto"/>
              </w:rPr>
            </w:pPr>
          </w:p>
        </w:tc>
      </w:tr>
      <w:tr>
        <w:trPr>
          <w:trHeight w:val="21"/>
        </w:trPr>
        <w:tc>
          <w:tcPr>
            <w:tcW w:w="78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share and per share amounts)</w:t>
            </w:r>
          </w:p>
        </w:tc>
        <w:tc>
          <w:tcPr>
            <w:tcW w:w="20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8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454545"/>
              </w:rPr>
              <w:t>June 30, 2025</w:t>
            </w:r>
          </w:p>
        </w:tc>
        <w:tc>
          <w:tcPr>
            <w:tcW w:w="14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December 31, 2024</w:t>
            </w:r>
          </w:p>
        </w:tc>
        <w:tc>
          <w:tcPr>
            <w:tcW w:w="0" w:type="dxa"/>
            <w:vAlign w:val="bottom"/>
          </w:tcPr>
          <w:p>
            <w:pPr>
              <w:spacing w:after="0"/>
              <w:rPr>
                <w:sz w:val="1"/>
                <w:szCs w:val="1"/>
                <w:color w:val="auto"/>
              </w:rPr>
            </w:pPr>
          </w:p>
        </w:tc>
      </w:tr>
      <w:tr>
        <w:trPr>
          <w:trHeight w:val="21"/>
        </w:trPr>
        <w:tc>
          <w:tcPr>
            <w:tcW w:w="784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56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3,763</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Receivables – net of allowances of $107 and $103</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3,562</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3,566</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2,283</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1,939</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Contract and other deferred assets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1,062</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current assets</w:t>
            </w:r>
          </w:p>
        </w:tc>
        <w:tc>
          <w:tcPr>
            <w:tcW w:w="20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638</w:t>
            </w:r>
          </w:p>
        </w:tc>
        <w:tc>
          <w:tcPr>
            <w:tcW w:w="14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11,308</w:t>
            </w: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9,901</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Property, plant, and equipment – net</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2,962</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2,550</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13,417</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13,136</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intangible assets – net</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1,220</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4,517</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4,474</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assets</w:t>
            </w:r>
          </w:p>
        </w:tc>
        <w:tc>
          <w:tcPr>
            <w:tcW w:w="20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2,076</w:t>
            </w:r>
          </w:p>
        </w:tc>
        <w:tc>
          <w:tcPr>
            <w:tcW w:w="14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35,500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33,089</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Short-term borrowings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2,005</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1,502</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2,975</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3,035</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1,979</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1,943</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Current compensation and benefits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1,364</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1,521</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current liabilities</w:t>
            </w:r>
          </w:p>
        </w:tc>
        <w:tc>
          <w:tcPr>
            <w:tcW w:w="20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1,426</w:t>
            </w:r>
          </w:p>
        </w:tc>
        <w:tc>
          <w:tcPr>
            <w:tcW w:w="14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1,552</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9,748</w:t>
            </w: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9,553</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8,270</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7,449</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Non-current compensation and benefits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5,351</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5,583</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173</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All other non-current liabilities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2,005</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E4E4E4"/>
            </w:tcBorders>
            <w:shd w:val="clear" w:color="auto" w:fill="E4E4E4"/>
          </w:tcPr>
          <w:p>
            <w:pPr>
              <w:spacing w:after="0"/>
              <w:rPr>
                <w:sz w:val="21"/>
                <w:szCs w:val="21"/>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25,548</w:t>
            </w:r>
          </w:p>
        </w:tc>
        <w:tc>
          <w:tcPr>
            <w:tcW w:w="14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24,437</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i w:val="1"/>
                <w:iCs w:val="1"/>
                <w:color w:val="auto"/>
              </w:rPr>
              <w:t>Commitments and contingencies</w:t>
            </w: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220</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188</w:t>
            </w:r>
          </w:p>
        </w:tc>
        <w:tc>
          <w:tcPr>
            <w:tcW w:w="0" w:type="dxa"/>
            <w:vAlign w:val="bottom"/>
          </w:tcPr>
          <w:p>
            <w:pPr>
              <w:spacing w:after="0"/>
              <w:rPr>
                <w:sz w:val="1"/>
                <w:szCs w:val="1"/>
                <w:color w:val="auto"/>
              </w:rPr>
            </w:pPr>
          </w:p>
        </w:tc>
      </w:tr>
      <w:tr>
        <w:trPr>
          <w:trHeight w:val="20"/>
        </w:trPr>
        <w:tc>
          <w:tcPr>
            <w:tcW w:w="7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30" w:right="359" w:bottom="1440" w:gutter="0" w:footer="0" w:header="0"/>
        </w:sectPr>
      </w:pPr>
    </w:p>
    <w:p>
      <w:pPr>
        <w:ind w:left="40" w:right="520"/>
        <w:spacing w:after="0" w:line="299" w:lineRule="auto"/>
        <w:rPr>
          <w:sz w:val="20"/>
          <w:szCs w:val="20"/>
          <w:color w:val="auto"/>
        </w:rPr>
      </w:pPr>
      <w:r>
        <w:rPr>
          <w:rFonts w:ascii="Arial" w:cs="Arial" w:eastAsia="Arial" w:hAnsi="Arial"/>
          <w:sz w:val="16"/>
          <w:szCs w:val="16"/>
          <w:color w:val="auto"/>
        </w:rPr>
        <w:t>Common stock, par value $0.01 per share, 1,000,000,000 shares authorized, 458,275,427 shares issued as of June 30, 2025; 457,246,971 shares issued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711517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Treasury stock, at cost, 1,718,413 shares as of June 30, 2025 and 291,053 shares as of December 31, 2024</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15175"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Retained earnings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other comprehensive income (loss) – net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380"/>
        <w:spacing w:after="0"/>
        <w:tabs>
          <w:tab w:leader="none" w:pos="204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5</w:t>
      </w:r>
    </w:p>
    <w:p>
      <w:pPr>
        <w:spacing w:after="0" w:line="181" w:lineRule="exact"/>
        <w:rPr>
          <w:sz w:val="20"/>
          <w:szCs w:val="20"/>
          <w:color w:val="auto"/>
        </w:rPr>
      </w:pPr>
    </w:p>
    <w:p>
      <w:pPr>
        <w:ind w:left="140"/>
        <w:spacing w:after="0"/>
        <w:tabs>
          <w:tab w:leader="none" w:pos="1900" w:val="left"/>
        </w:tabs>
        <w:rPr>
          <w:sz w:val="20"/>
          <w:szCs w:val="20"/>
          <w:color w:val="auto"/>
        </w:rPr>
      </w:pPr>
      <w:r>
        <w:rPr>
          <w:rFonts w:ascii="Arial" w:cs="Arial" w:eastAsia="Arial" w:hAnsi="Arial"/>
          <w:sz w:val="15"/>
          <w:szCs w:val="15"/>
          <w:color w:val="auto"/>
        </w:rPr>
        <w:t>(125)</w:t>
      </w:r>
      <w:r>
        <w:rPr>
          <w:sz w:val="20"/>
          <w:szCs w:val="20"/>
          <w:color w:val="auto"/>
        </w:rPr>
        <w:tab/>
      </w:r>
      <w:r>
        <w:rPr>
          <w:rFonts w:ascii="Arial" w:cs="Arial" w:eastAsia="Arial" w:hAnsi="Arial"/>
          <w:sz w:val="15"/>
          <w:szCs w:val="15"/>
          <w:color w:val="auto"/>
        </w:rPr>
        <w:t>(25)</w:t>
      </w:r>
    </w:p>
    <w:p>
      <w:pPr>
        <w:spacing w:after="0" w:line="84"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16"/>
          <w:szCs w:val="16"/>
          <w:color w:val="auto"/>
        </w:rPr>
        <w:t>6,628</w:t>
      </w:r>
      <w:r>
        <w:rPr>
          <w:sz w:val="20"/>
          <w:szCs w:val="20"/>
          <w:color w:val="auto"/>
        </w:rPr>
        <w:tab/>
      </w:r>
      <w:r>
        <w:rPr>
          <w:rFonts w:ascii="Arial" w:cs="Arial" w:eastAsia="Arial" w:hAnsi="Arial"/>
          <w:sz w:val="16"/>
          <w:szCs w:val="16"/>
          <w:color w:val="auto"/>
        </w:rPr>
        <w:t>6,583</w:t>
      </w:r>
    </w:p>
    <w:p>
      <w:pPr>
        <w:spacing w:after="0" w:line="73"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16"/>
          <w:szCs w:val="16"/>
          <w:color w:val="auto"/>
        </w:rPr>
        <w:t>4,295</w:t>
      </w:r>
      <w:r>
        <w:rPr>
          <w:sz w:val="20"/>
          <w:szCs w:val="20"/>
          <w:color w:val="auto"/>
        </w:rPr>
        <w:tab/>
      </w:r>
      <w:r>
        <w:rPr>
          <w:rFonts w:ascii="Arial" w:cs="Arial" w:eastAsia="Arial" w:hAnsi="Arial"/>
          <w:sz w:val="16"/>
          <w:szCs w:val="16"/>
          <w:color w:val="auto"/>
        </w:rPr>
        <w:t>3,262</w:t>
      </w:r>
    </w:p>
    <w:p>
      <w:pPr>
        <w:spacing w:after="0" w:line="73"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(1,090)</w:t>
      </w:r>
      <w:r>
        <w:rPr>
          <w:sz w:val="20"/>
          <w:szCs w:val="20"/>
          <w:color w:val="auto"/>
        </w:rPr>
        <w:tab/>
      </w:r>
      <w:r>
        <w:rPr>
          <w:rFonts w:ascii="Arial" w:cs="Arial" w:eastAsia="Arial" w:hAnsi="Arial"/>
          <w:sz w:val="16"/>
          <w:szCs w:val="16"/>
          <w:color w:val="auto"/>
        </w:rPr>
        <w:t>(1,379)</w:t>
      </w:r>
    </w:p>
    <w:p>
      <w:pPr>
        <w:spacing w:after="0" w:line="40" w:lineRule="exact"/>
        <w:rPr>
          <w:sz w:val="20"/>
          <w:szCs w:val="20"/>
          <w:color w:val="auto"/>
        </w:rPr>
      </w:pPr>
    </w:p>
    <w:p>
      <w:pPr>
        <w:sectPr>
          <w:pgSz w:w="11900" w:h="16838" w:orient="portrait"/>
          <w:cols w:equalWidth="0" w:num="2">
            <w:col w:w="8280" w:space="720"/>
            <w:col w:w="2220"/>
          </w:cols>
          <w:pgMar w:left="320" w:top="130" w:right="359" w:bottom="1440" w:gutter="0" w:footer="0" w:header="0"/>
          <w:type w:val="continuous"/>
        </w:sectPr>
      </w:pPr>
    </w:p>
    <w:tbl>
      <w:tblPr>
        <w:tblLayout w:type="fixed"/>
        <w:tblInd w:w="20" w:type="dxa"/>
        <w:tblCellMar>
          <w:top w:w="0" w:type="dxa"/>
          <w:left w:w="0" w:type="dxa"/>
          <w:bottom w:w="0" w:type="dxa"/>
          <w:right w:w="0" w:type="dxa"/>
        </w:tblCellMar>
      </w:tblPr>
      <w:tr>
        <w:trPr>
          <w:trHeight w:val="250"/>
        </w:trPr>
        <w:tc>
          <w:tcPr>
            <w:tcW w:w="638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 attributable to GE HealthCare</w:t>
            </w:r>
          </w:p>
        </w:tc>
        <w:tc>
          <w:tcPr>
            <w:tcW w:w="2060" w:type="dxa"/>
            <w:vAlign w:val="bottom"/>
            <w:tcBorders>
              <w:top w:val="single" w:sz="8" w:color="auto"/>
              <w:bottom w:val="single" w:sz="8" w:color="E4E4E4"/>
            </w:tcBorders>
            <w:shd w:val="clear" w:color="auto" w:fill="E4E4E4"/>
          </w:tcPr>
          <w:p>
            <w:pPr>
              <w:spacing w:after="0"/>
              <w:rPr>
                <w:sz w:val="21"/>
                <w:szCs w:val="21"/>
                <w:color w:val="auto"/>
              </w:rPr>
            </w:pPr>
          </w:p>
        </w:tc>
        <w:tc>
          <w:tcPr>
            <w:tcW w:w="10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9,712</w:t>
            </w:r>
          </w:p>
        </w:tc>
        <w:tc>
          <w:tcPr>
            <w:tcW w:w="640" w:type="dxa"/>
            <w:vAlign w:val="bottom"/>
            <w:tcBorders>
              <w:top w:val="single" w:sz="8" w:color="auto"/>
              <w:bottom w:val="single" w:sz="8" w:color="E4E4E4"/>
            </w:tcBorders>
            <w:shd w:val="clear" w:color="auto" w:fill="E4E4E4"/>
          </w:tcPr>
          <w:p>
            <w:pPr>
              <w:spacing w:after="0"/>
              <w:rPr>
                <w:sz w:val="21"/>
                <w:szCs w:val="21"/>
                <w:color w:val="auto"/>
              </w:rPr>
            </w:pPr>
          </w:p>
        </w:tc>
        <w:tc>
          <w:tcPr>
            <w:tcW w:w="10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8,446</w:t>
            </w:r>
          </w:p>
        </w:tc>
      </w:tr>
      <w:tr>
        <w:trPr>
          <w:trHeight w:val="228"/>
        </w:trPr>
        <w:tc>
          <w:tcPr>
            <w:tcW w:w="638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20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
        </w:trPr>
        <w:tc>
          <w:tcPr>
            <w:tcW w:w="63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6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w:t>
            </w:r>
          </w:p>
        </w:tc>
        <w:tc>
          <w:tcPr>
            <w:tcW w:w="206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9,733</w:t>
            </w:r>
          </w:p>
        </w:tc>
        <w:tc>
          <w:tcPr>
            <w:tcW w:w="64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8,464</w:t>
            </w:r>
          </w:p>
        </w:tc>
      </w:tr>
      <w:tr>
        <w:trPr>
          <w:trHeight w:val="229"/>
        </w:trPr>
        <w:tc>
          <w:tcPr>
            <w:tcW w:w="63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206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35,500</w:t>
            </w: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33,089</w:t>
            </w:r>
          </w:p>
        </w:tc>
      </w:tr>
      <w:tr>
        <w:trPr>
          <w:trHeight w:val="21"/>
        </w:trPr>
        <w:tc>
          <w:tcPr>
            <w:tcW w:w="63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720" w:type="dxa"/>
            <w:vAlign w:val="bottom"/>
            <w:gridSpan w:val="5"/>
          </w:tcPr>
          <w:p>
            <w:pPr>
              <w:ind w:left="20"/>
              <w:spacing w:after="0"/>
              <w:rPr>
                <w:sz w:val="20"/>
                <w:szCs w:val="20"/>
                <w:color w:val="auto"/>
              </w:rPr>
            </w:pPr>
            <w:r>
              <w:rPr>
                <w:rFonts w:ascii="Arial" w:cs="Arial" w:eastAsia="Arial" w:hAnsi="Arial"/>
                <w:sz w:val="16"/>
                <w:szCs w:val="16"/>
                <w:b w:val="1"/>
                <w:bCs w:val="1"/>
                <w:color w:val="auto"/>
              </w:rPr>
              <w:t>Condensed Consolidated Statements of Changes in Equity (Unaudited)</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3200" w:type="dxa"/>
            <w:vAlign w:val="bottom"/>
          </w:tcPr>
          <w:p>
            <w:pPr>
              <w:spacing w:after="0"/>
              <w:rPr>
                <w:sz w:val="24"/>
                <w:szCs w:val="24"/>
                <w:color w:val="auto"/>
              </w:rPr>
            </w:pPr>
          </w:p>
        </w:tc>
        <w:tc>
          <w:tcPr>
            <w:tcW w:w="1340" w:type="dxa"/>
            <w:vAlign w:val="bottom"/>
            <w:tcBorders>
              <w:bottom w:val="single" w:sz="8" w:color="454545"/>
            </w:tcBorders>
            <w:gridSpan w:val="2"/>
          </w:tcPr>
          <w:p>
            <w:pPr>
              <w:jc w:val="right"/>
              <w:spacing w:after="0"/>
              <w:rPr>
                <w:sz w:val="20"/>
                <w:szCs w:val="20"/>
                <w:color w:val="auto"/>
              </w:rPr>
            </w:pPr>
            <w:r>
              <w:rPr>
                <w:rFonts w:ascii="Arial" w:cs="Arial" w:eastAsia="Arial" w:hAnsi="Arial"/>
                <w:sz w:val="16"/>
                <w:szCs w:val="16"/>
                <w:b w:val="1"/>
                <w:bCs w:val="1"/>
                <w:color w:val="454545"/>
              </w:rPr>
              <w:t>Common stock</w:t>
            </w:r>
          </w:p>
        </w:tc>
        <w:tc>
          <w:tcPr>
            <w:tcW w:w="180" w:type="dxa"/>
            <w:vAlign w:val="bottom"/>
            <w:tcBorders>
              <w:bottom w:val="single" w:sz="8" w:color="454545"/>
            </w:tcBorders>
          </w:tcPr>
          <w:p>
            <w:pPr>
              <w:spacing w:after="0"/>
              <w:rPr>
                <w:sz w:val="24"/>
                <w:szCs w:val="24"/>
                <w:color w:val="auto"/>
              </w:rPr>
            </w:pPr>
          </w:p>
        </w:tc>
        <w:tc>
          <w:tcPr>
            <w:tcW w:w="1480" w:type="dxa"/>
            <w:vAlign w:val="bottom"/>
            <w:tcBorders>
              <w:bottom w:val="single" w:sz="8" w:color="454545"/>
            </w:tcBorders>
            <w:gridSpan w:val="2"/>
          </w:tcPr>
          <w:p>
            <w:pPr>
              <w:jc w:val="center"/>
              <w:spacing w:after="0"/>
              <w:rPr>
                <w:sz w:val="20"/>
                <w:szCs w:val="20"/>
                <w:color w:val="auto"/>
              </w:rPr>
            </w:pPr>
            <w:r>
              <w:rPr>
                <w:rFonts w:ascii="Arial" w:cs="Arial" w:eastAsia="Arial" w:hAnsi="Arial"/>
                <w:sz w:val="16"/>
                <w:szCs w:val="16"/>
                <w:b w:val="1"/>
                <w:bCs w:val="1"/>
                <w:color w:val="454545"/>
              </w:rPr>
              <w:t>Treasury stock</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9"/>
              <w:spacing w:after="0" w:line="175" w:lineRule="exact"/>
              <w:rPr>
                <w:sz w:val="20"/>
                <w:szCs w:val="20"/>
                <w:color w:val="auto"/>
              </w:rPr>
            </w:pPr>
            <w:r>
              <w:rPr>
                <w:rFonts w:ascii="Arial" w:cs="Arial" w:eastAsia="Arial" w:hAnsi="Arial"/>
                <w:sz w:val="16"/>
                <w:szCs w:val="16"/>
                <w:b w:val="1"/>
                <w:bCs w:val="1"/>
                <w:color w:val="454545"/>
              </w:rPr>
              <w:t>Accumulated</w:t>
            </w:r>
          </w:p>
        </w:tc>
        <w:tc>
          <w:tcPr>
            <w:tcW w:w="180" w:type="dxa"/>
            <w:vAlign w:val="bottom"/>
          </w:tcPr>
          <w:p>
            <w:pPr>
              <w:spacing w:after="0"/>
              <w:rPr>
                <w:sz w:val="15"/>
                <w:szCs w:val="15"/>
                <w:color w:val="auto"/>
              </w:rPr>
            </w:pPr>
          </w:p>
        </w:tc>
        <w:tc>
          <w:tcPr>
            <w:tcW w:w="10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454545"/>
                <w:w w:val="98"/>
              </w:rPr>
              <w:t>Equity</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Additional</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comprehensive</w:t>
            </w:r>
          </w:p>
        </w:tc>
        <w:tc>
          <w:tcPr>
            <w:tcW w:w="12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attributable to</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454545"/>
              </w:rPr>
              <w:t>Shares</w:t>
            </w:r>
          </w:p>
        </w:tc>
        <w:tc>
          <w:tcPr>
            <w:tcW w:w="800" w:type="dxa"/>
            <w:vAlign w:val="bottom"/>
            <w:gridSpan w:val="2"/>
            <w:vMerge w:val="restart"/>
          </w:tcPr>
          <w:p>
            <w:pPr>
              <w:jc w:val="right"/>
              <w:ind w:right="24"/>
              <w:spacing w:after="0"/>
              <w:rPr>
                <w:sz w:val="20"/>
                <w:szCs w:val="20"/>
                <w:color w:val="auto"/>
              </w:rPr>
            </w:pPr>
            <w:r>
              <w:rPr>
                <w:rFonts w:ascii="Arial" w:cs="Arial" w:eastAsia="Arial" w:hAnsi="Arial"/>
                <w:sz w:val="16"/>
                <w:szCs w:val="16"/>
                <w:b w:val="1"/>
                <w:bCs w:val="1"/>
                <w:color w:val="454545"/>
              </w:rPr>
              <w:t>Amount</w:t>
            </w:r>
          </w:p>
        </w:tc>
        <w:tc>
          <w:tcPr>
            <w:tcW w:w="14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Shares  Amount</w:t>
            </w:r>
          </w:p>
        </w:tc>
        <w:tc>
          <w:tcPr>
            <w:tcW w:w="140" w:type="dxa"/>
            <w:vAlign w:val="bottom"/>
          </w:tcPr>
          <w:p>
            <w:pPr>
              <w:spacing w:after="0"/>
              <w:rPr>
                <w:sz w:val="15"/>
                <w:szCs w:val="15"/>
                <w:color w:val="auto"/>
              </w:rPr>
            </w:pPr>
          </w:p>
        </w:tc>
        <w:tc>
          <w:tcPr>
            <w:tcW w:w="740" w:type="dxa"/>
            <w:vAlign w:val="bottom"/>
          </w:tcPr>
          <w:p>
            <w:pPr>
              <w:jc w:val="center"/>
              <w:ind w:right="59"/>
              <w:spacing w:after="0" w:line="176" w:lineRule="exact"/>
              <w:rPr>
                <w:sz w:val="20"/>
                <w:szCs w:val="20"/>
                <w:color w:val="auto"/>
              </w:rPr>
            </w:pPr>
            <w:r>
              <w:rPr>
                <w:rFonts w:ascii="Arial" w:cs="Arial" w:eastAsia="Arial" w:hAnsi="Arial"/>
                <w:sz w:val="16"/>
                <w:szCs w:val="16"/>
                <w:b w:val="1"/>
                <w:bCs w:val="1"/>
                <w:color w:val="454545"/>
                <w:w w:val="99"/>
              </w:rPr>
              <w:t>paid-in</w:t>
            </w:r>
          </w:p>
        </w:tc>
        <w:tc>
          <w:tcPr>
            <w:tcW w:w="800" w:type="dxa"/>
            <w:vAlign w:val="bottom"/>
          </w:tcPr>
          <w:p>
            <w:pPr>
              <w:jc w:val="right"/>
              <w:spacing w:after="0" w:line="176" w:lineRule="exact"/>
              <w:rPr>
                <w:sz w:val="20"/>
                <w:szCs w:val="20"/>
                <w:color w:val="auto"/>
              </w:rPr>
            </w:pPr>
            <w:r>
              <w:rPr>
                <w:rFonts w:ascii="Arial" w:cs="Arial" w:eastAsia="Arial" w:hAnsi="Arial"/>
                <w:sz w:val="16"/>
                <w:szCs w:val="16"/>
                <w:b w:val="1"/>
                <w:bCs w:val="1"/>
                <w:color w:val="454545"/>
              </w:rPr>
              <w:t>Retained</w:t>
            </w:r>
          </w:p>
        </w:tc>
        <w:tc>
          <w:tcPr>
            <w:tcW w:w="2500" w:type="dxa"/>
            <w:vAlign w:val="bottom"/>
            <w:gridSpan w:val="4"/>
          </w:tcPr>
          <w:p>
            <w:pPr>
              <w:jc w:val="right"/>
              <w:spacing w:after="0" w:line="176" w:lineRule="exact"/>
              <w:rPr>
                <w:sz w:val="20"/>
                <w:szCs w:val="20"/>
                <w:color w:val="auto"/>
              </w:rPr>
            </w:pPr>
            <w:r>
              <w:rPr>
                <w:rFonts w:ascii="Arial" w:cs="Arial" w:eastAsia="Arial" w:hAnsi="Arial"/>
                <w:sz w:val="16"/>
                <w:szCs w:val="16"/>
                <w:b w:val="1"/>
                <w:bCs w:val="1"/>
                <w:color w:val="454545"/>
              </w:rPr>
              <w:t>income (loss) – noncontrolling</w:t>
            </w:r>
          </w:p>
        </w:tc>
        <w:tc>
          <w:tcPr>
            <w:tcW w:w="140" w:type="dxa"/>
            <w:vAlign w:val="bottom"/>
          </w:tcPr>
          <w:p>
            <w:pPr>
              <w:spacing w:after="0"/>
              <w:rPr>
                <w:sz w:val="15"/>
                <w:szCs w:val="15"/>
                <w:color w:val="auto"/>
              </w:rPr>
            </w:pPr>
          </w:p>
        </w:tc>
        <w:tc>
          <w:tcPr>
            <w:tcW w:w="680" w:type="dxa"/>
            <w:vAlign w:val="bottom"/>
          </w:tcPr>
          <w:p>
            <w:pPr>
              <w:jc w:val="center"/>
              <w:ind w:right="59"/>
              <w:spacing w:after="0" w:line="176" w:lineRule="exact"/>
              <w:rPr>
                <w:sz w:val="20"/>
                <w:szCs w:val="20"/>
                <w:color w:val="auto"/>
              </w:rPr>
            </w:pPr>
            <w:r>
              <w:rPr>
                <w:rFonts w:ascii="Arial" w:cs="Arial" w:eastAsia="Arial" w:hAnsi="Arial"/>
                <w:sz w:val="16"/>
                <w:szCs w:val="16"/>
                <w:b w:val="1"/>
                <w:bCs w:val="1"/>
                <w:color w:val="454545"/>
                <w:w w:val="99"/>
              </w:rPr>
              <w:t>Total</w:t>
            </w:r>
          </w:p>
        </w:tc>
        <w:tc>
          <w:tcPr>
            <w:tcW w:w="0" w:type="dxa"/>
            <w:vAlign w:val="bottom"/>
          </w:tcPr>
          <w:p>
            <w:pPr>
              <w:spacing w:after="0"/>
              <w:rPr>
                <w:sz w:val="1"/>
                <w:szCs w:val="1"/>
                <w:color w:val="auto"/>
              </w:rPr>
            </w:pPr>
          </w:p>
        </w:tc>
      </w:tr>
      <w:tr>
        <w:trPr>
          <w:trHeight w:val="239"/>
        </w:trPr>
        <w:tc>
          <w:tcPr>
            <w:tcW w:w="3200" w:type="dxa"/>
            <w:vAlign w:val="bottom"/>
            <w:tcBorders>
              <w:bottom w:val="single" w:sz="8" w:color="6022A6"/>
            </w:tcBorders>
            <w:vMerge w:val="continue"/>
          </w:tcPr>
          <w:p>
            <w:pPr>
              <w:spacing w:after="0"/>
              <w:rPr>
                <w:sz w:val="20"/>
                <w:szCs w:val="20"/>
                <w:color w:val="auto"/>
              </w:rPr>
            </w:pPr>
          </w:p>
        </w:tc>
        <w:tc>
          <w:tcPr>
            <w:tcW w:w="720" w:type="dxa"/>
            <w:vAlign w:val="bottom"/>
            <w:tcBorders>
              <w:bottom w:val="single" w:sz="8" w:color="6022A6"/>
            </w:tcBorders>
            <w:vMerge w:val="continue"/>
          </w:tcPr>
          <w:p>
            <w:pPr>
              <w:spacing w:after="0"/>
              <w:rPr>
                <w:sz w:val="20"/>
                <w:szCs w:val="20"/>
                <w:color w:val="auto"/>
              </w:rPr>
            </w:pPr>
          </w:p>
        </w:tc>
        <w:tc>
          <w:tcPr>
            <w:tcW w:w="800" w:type="dxa"/>
            <w:vAlign w:val="bottom"/>
            <w:tcBorders>
              <w:bottom w:val="single" w:sz="8" w:color="6022A6"/>
            </w:tcBorders>
            <w:gridSpan w:val="2"/>
            <w:vMerge w:val="continue"/>
          </w:tcPr>
          <w:p>
            <w:pPr>
              <w:spacing w:after="0"/>
              <w:rPr>
                <w:sz w:val="20"/>
                <w:szCs w:val="20"/>
                <w:color w:val="auto"/>
              </w:rPr>
            </w:pPr>
          </w:p>
        </w:tc>
        <w:tc>
          <w:tcPr>
            <w:tcW w:w="1480" w:type="dxa"/>
            <w:vAlign w:val="bottom"/>
            <w:tcBorders>
              <w:bottom w:val="single" w:sz="8" w:color="6022A6"/>
            </w:tcBorders>
            <w:gridSpan w:val="2"/>
            <w:vMerge w:val="continue"/>
          </w:tcPr>
          <w:p>
            <w:pPr>
              <w:spacing w:after="0"/>
              <w:rPr>
                <w:sz w:val="20"/>
                <w:szCs w:val="20"/>
                <w:color w:val="auto"/>
              </w:rPr>
            </w:pPr>
          </w:p>
        </w:tc>
        <w:tc>
          <w:tcPr>
            <w:tcW w:w="140" w:type="dxa"/>
            <w:vAlign w:val="bottom"/>
            <w:tcBorders>
              <w:bottom w:val="single" w:sz="8" w:color="6022A6"/>
            </w:tcBorders>
          </w:tcPr>
          <w:p>
            <w:pPr>
              <w:spacing w:after="0"/>
              <w:rPr>
                <w:sz w:val="20"/>
                <w:szCs w:val="20"/>
                <w:color w:val="auto"/>
              </w:rPr>
            </w:pPr>
          </w:p>
        </w:tc>
        <w:tc>
          <w:tcPr>
            <w:tcW w:w="74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rPr>
              <w:t>capital</w:t>
            </w:r>
          </w:p>
        </w:tc>
        <w:tc>
          <w:tcPr>
            <w:tcW w:w="80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earnings</w:t>
            </w:r>
          </w:p>
        </w:tc>
        <w:tc>
          <w:tcPr>
            <w:tcW w:w="140" w:type="dxa"/>
            <w:vAlign w:val="bottom"/>
            <w:tcBorders>
              <w:bottom w:val="single" w:sz="8" w:color="6022A6"/>
            </w:tcBorders>
          </w:tcPr>
          <w:p>
            <w:pPr>
              <w:spacing w:after="0"/>
              <w:rPr>
                <w:sz w:val="20"/>
                <w:szCs w:val="20"/>
                <w:color w:val="auto"/>
              </w:rPr>
            </w:pPr>
          </w:p>
        </w:tc>
        <w:tc>
          <w:tcPr>
            <w:tcW w:w="116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180" w:type="dxa"/>
            <w:vAlign w:val="bottom"/>
            <w:tcBorders>
              <w:bottom w:val="single" w:sz="8" w:color="6022A6"/>
            </w:tcBorders>
          </w:tcPr>
          <w:p>
            <w:pPr>
              <w:spacing w:after="0"/>
              <w:rPr>
                <w:sz w:val="20"/>
                <w:szCs w:val="20"/>
                <w:color w:val="auto"/>
              </w:rPr>
            </w:pPr>
          </w:p>
        </w:tc>
        <w:tc>
          <w:tcPr>
            <w:tcW w:w="102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interests</w:t>
            </w:r>
          </w:p>
        </w:tc>
        <w:tc>
          <w:tcPr>
            <w:tcW w:w="140" w:type="dxa"/>
            <w:vAlign w:val="bottom"/>
            <w:tcBorders>
              <w:bottom w:val="single" w:sz="8" w:color="6022A6"/>
            </w:tcBorders>
          </w:tcPr>
          <w:p>
            <w:pPr>
              <w:spacing w:after="0"/>
              <w:rPr>
                <w:sz w:val="20"/>
                <w:szCs w:val="20"/>
                <w:color w:val="auto"/>
              </w:rPr>
            </w:pPr>
          </w:p>
        </w:tc>
        <w:tc>
          <w:tcPr>
            <w:tcW w:w="680" w:type="dxa"/>
            <w:vAlign w:val="bottom"/>
            <w:tcBorders>
              <w:bottom w:val="single" w:sz="8" w:color="6022A6"/>
            </w:tcBorders>
          </w:tcPr>
          <w:p>
            <w:pPr>
              <w:jc w:val="center"/>
              <w:ind w:right="3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2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March 31, 2025</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458</w:t>
            </w:r>
          </w:p>
        </w:tc>
        <w:tc>
          <w:tcPr>
            <w:tcW w:w="620" w:type="dxa"/>
            <w:vAlign w:val="bottom"/>
            <w:shd w:val="clear" w:color="auto" w:fill="E4E4E4"/>
          </w:tcPr>
          <w:p>
            <w:pPr>
              <w:jc w:val="right"/>
              <w:ind w:right="399"/>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E4E4E4"/>
          </w:tcPr>
          <w:p>
            <w:pPr>
              <w:jc w:val="right"/>
              <w:ind w:right="24"/>
              <w:spacing w:after="0"/>
              <w:rPr>
                <w:sz w:val="20"/>
                <w:szCs w:val="20"/>
                <w:color w:val="auto"/>
              </w:rPr>
            </w:pPr>
            <w:r>
              <w:rPr>
                <w:rFonts w:ascii="Arial" w:cs="Arial" w:eastAsia="Arial" w:hAnsi="Arial"/>
                <w:sz w:val="15"/>
                <w:szCs w:val="15"/>
                <w:b w:val="1"/>
                <w:bCs w:val="1"/>
                <w:color w:val="auto"/>
                <w:w w:val="71"/>
              </w:rPr>
              <w:t>5</w:t>
            </w:r>
          </w:p>
        </w:tc>
        <w:tc>
          <w:tcPr>
            <w:tcW w:w="1000" w:type="dxa"/>
            <w:vAlign w:val="bottom"/>
            <w:shd w:val="clear" w:color="auto" w:fill="E4E4E4"/>
          </w:tcPr>
          <w:p>
            <w:pPr>
              <w:ind w:left="480"/>
              <w:spacing w:after="0"/>
              <w:rPr>
                <w:sz w:val="20"/>
                <w:szCs w:val="20"/>
                <w:color w:val="auto"/>
              </w:rPr>
            </w:pPr>
            <w:r>
              <w:rPr>
                <w:rFonts w:ascii="Arial" w:cs="Arial" w:eastAsia="Arial" w:hAnsi="Arial"/>
                <w:sz w:val="16"/>
                <w:szCs w:val="16"/>
                <w:b w:val="1"/>
                <w:bCs w:val="1"/>
                <w:color w:val="auto"/>
              </w:rPr>
              <w:t>— $</w:t>
            </w:r>
          </w:p>
        </w:tc>
        <w:tc>
          <w:tcPr>
            <w:tcW w:w="4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6,597</w:t>
            </w: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   3,810</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(1,199)</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9,207</w:t>
            </w:r>
          </w:p>
        </w:tc>
        <w:tc>
          <w:tcPr>
            <w:tcW w:w="0" w:type="dxa"/>
            <w:vAlign w:val="bottom"/>
          </w:tcPr>
          <w:p>
            <w:pPr>
              <w:spacing w:after="0"/>
              <w:rPr>
                <w:sz w:val="1"/>
                <w:szCs w:val="1"/>
                <w:color w:val="auto"/>
              </w:rPr>
            </w:pPr>
          </w:p>
        </w:tc>
      </w:tr>
      <w:tr>
        <w:trPr>
          <w:trHeight w:val="21"/>
        </w:trPr>
        <w:tc>
          <w:tcPr>
            <w:tcW w:w="320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62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000" w:type="dxa"/>
            <w:vAlign w:val="bottom"/>
            <w:shd w:val="clear" w:color="auto" w:fill="E4E4E4"/>
          </w:tcPr>
          <w:p>
            <w:pPr>
              <w:spacing w:after="0" w:line="20" w:lineRule="exact"/>
              <w:rPr>
                <w:sz w:val="1"/>
                <w:szCs w:val="1"/>
                <w:color w:val="auto"/>
              </w:rPr>
            </w:pPr>
          </w:p>
        </w:tc>
        <w:tc>
          <w:tcPr>
            <w:tcW w:w="48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740" w:type="dxa"/>
            <w:vAlign w:val="bottom"/>
            <w:shd w:val="clear" w:color="auto" w:fill="E4E4E4"/>
          </w:tcPr>
          <w:p>
            <w:pPr>
              <w:spacing w:after="0" w:line="20" w:lineRule="exact"/>
              <w:rPr>
                <w:sz w:val="1"/>
                <w:szCs w:val="1"/>
                <w:color w:val="auto"/>
              </w:rPr>
            </w:pPr>
          </w:p>
        </w:tc>
        <w:tc>
          <w:tcPr>
            <w:tcW w:w="80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6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30" w:right="359" w:bottom="1440" w:gutter="0" w:footer="0" w:header="0"/>
        </w:sectPr>
      </w:pPr>
    </w:p>
    <w:p>
      <w:pPr>
        <w:ind w:left="4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Repurchase of common stock</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40" w:right="6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(3)</w:t>
            </w:r>
          </w:p>
        </w:tc>
        <w:tc>
          <w:tcPr>
            <w:tcW w:w="10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64"/>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920" w:type="dxa"/>
            <w:vAlign w:val="bottom"/>
          </w:tcPr>
          <w:p>
            <w:pPr>
              <w:ind w:left="220"/>
              <w:spacing w:after="0"/>
              <w:rPr>
                <w:sz w:val="20"/>
                <w:szCs w:val="20"/>
                <w:color w:val="auto"/>
              </w:rPr>
            </w:pPr>
            <w:r>
              <w:rPr>
                <w:rFonts w:ascii="Arial" w:cs="Arial" w:eastAsia="Arial" w:hAnsi="Arial"/>
                <w:sz w:val="16"/>
                <w:szCs w:val="16"/>
                <w:color w:val="auto"/>
              </w:rPr>
              <w:t>(100)</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57"/>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9"/>
              <w:spacing w:after="0"/>
              <w:rPr>
                <w:sz w:val="20"/>
                <w:szCs w:val="20"/>
                <w:color w:val="auto"/>
              </w:rPr>
            </w:pPr>
            <w:r>
              <w:rPr>
                <w:rFonts w:ascii="Arial" w:cs="Arial" w:eastAsia="Arial" w:hAnsi="Arial"/>
                <w:sz w:val="16"/>
                <w:szCs w:val="16"/>
                <w:color w:val="auto"/>
              </w:rPr>
              <w:t>486</w:t>
            </w:r>
          </w:p>
        </w:tc>
        <w:tc>
          <w:tcPr>
            <w:tcW w:w="12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351"/>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9"/>
              <w:spacing w:after="0"/>
              <w:rPr>
                <w:sz w:val="20"/>
                <w:szCs w:val="20"/>
                <w:color w:val="auto"/>
              </w:rPr>
            </w:pPr>
            <w:r>
              <w:rPr>
                <w:rFonts w:ascii="Arial" w:cs="Arial" w:eastAsia="Arial" w:hAnsi="Arial"/>
                <w:sz w:val="16"/>
                <w:szCs w:val="16"/>
                <w:color w:val="auto"/>
              </w:rPr>
              <w:t>109</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459"/>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64"/>
        </w:trPr>
        <w:tc>
          <w:tcPr>
            <w:tcW w:w="4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34</w:t>
            </w:r>
          </w:p>
        </w:tc>
        <w:tc>
          <w:tcPr>
            <w:tcW w:w="10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-1052195</wp:posOffset>
            </wp:positionV>
            <wp:extent cx="7115175"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-726440</wp:posOffset>
            </wp:positionV>
            <wp:extent cx="7115175"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-143510</wp:posOffset>
            </wp:positionV>
            <wp:extent cx="71151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020" w:space="700"/>
            <w:col w:w="7500"/>
          </w:cols>
          <w:pgMar w:left="320" w:top="130" w:right="359" w:bottom="1440" w:gutter="0" w:footer="0" w:header="0"/>
          <w:type w:val="continuous"/>
        </w:sectPr>
      </w:pPr>
    </w:p>
    <w:tbl>
      <w:tblPr>
        <w:tblLayout w:type="fixed"/>
        <w:tblInd w:w="20" w:type="dxa"/>
        <w:tblCellMar>
          <w:top w:w="0" w:type="dxa"/>
          <w:left w:w="0" w:type="dxa"/>
          <w:bottom w:w="0" w:type="dxa"/>
          <w:right w:w="0" w:type="dxa"/>
        </w:tblCellMar>
      </w:tblPr>
      <w:tr>
        <w:trPr>
          <w:trHeight w:val="223"/>
        </w:trPr>
        <w:tc>
          <w:tcPr>
            <w:tcW w:w="3240" w:type="dxa"/>
            <w:vAlign w:val="bottom"/>
          </w:tcPr>
          <w:p>
            <w:pPr>
              <w:ind w:left="20"/>
              <w:spacing w:after="0"/>
              <w:rPr>
                <w:sz w:val="20"/>
                <w:szCs w:val="20"/>
                <w:color w:val="auto"/>
              </w:rPr>
            </w:pPr>
            <w:r>
              <w:rPr>
                <w:rFonts w:ascii="Arial" w:cs="Arial" w:eastAsia="Arial" w:hAnsi="Arial"/>
                <w:sz w:val="16"/>
                <w:szCs w:val="16"/>
                <w:b w:val="1"/>
                <w:bCs w:val="1"/>
                <w:color w:val="auto"/>
              </w:rPr>
              <w:t>Balances as of June 30, 2025</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458 $</w:t>
            </w:r>
          </w:p>
        </w:tc>
        <w:tc>
          <w:tcPr>
            <w:tcW w:w="920" w:type="dxa"/>
            <w:vAlign w:val="bottom"/>
          </w:tcPr>
          <w:p>
            <w:pPr>
              <w:ind w:left="280"/>
              <w:spacing w:after="0"/>
              <w:rPr>
                <w:sz w:val="20"/>
                <w:szCs w:val="20"/>
                <w:color w:val="auto"/>
              </w:rPr>
            </w:pPr>
            <w:r>
              <w:rPr>
                <w:rFonts w:ascii="Arial" w:cs="Arial" w:eastAsia="Arial" w:hAnsi="Arial"/>
                <w:sz w:val="16"/>
                <w:szCs w:val="16"/>
                <w:b w:val="1"/>
                <w:bCs w:val="1"/>
                <w:color w:val="auto"/>
              </w:rPr>
              <w:t>5</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(125) $</w:t>
            </w:r>
          </w:p>
        </w:tc>
        <w:tc>
          <w:tcPr>
            <w:tcW w:w="160" w:type="dxa"/>
            <w:vAlign w:val="bottom"/>
          </w:tcPr>
          <w:p>
            <w:pPr>
              <w:spacing w:after="0"/>
              <w:rPr>
                <w:sz w:val="19"/>
                <w:szCs w:val="19"/>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6,628 $</w:t>
            </w:r>
          </w:p>
        </w:tc>
        <w:tc>
          <w:tcPr>
            <w:tcW w:w="620" w:type="dxa"/>
            <w:vAlign w:val="bottom"/>
            <w:gridSpan w:val="2"/>
          </w:tcPr>
          <w:p>
            <w:pPr>
              <w:jc w:val="right"/>
              <w:spacing w:after="0"/>
              <w:rPr>
                <w:sz w:val="20"/>
                <w:szCs w:val="20"/>
                <w:color w:val="auto"/>
              </w:rPr>
            </w:pPr>
            <w:r>
              <w:rPr>
                <w:rFonts w:ascii="Arial" w:cs="Arial" w:eastAsia="Arial" w:hAnsi="Arial"/>
                <w:sz w:val="16"/>
                <w:szCs w:val="16"/>
                <w:b w:val="1"/>
                <w:bCs w:val="1"/>
                <w:color w:val="auto"/>
              </w:rPr>
              <w:t>4,295 $</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(1,090)</w:t>
            </w:r>
          </w:p>
        </w:tc>
        <w:tc>
          <w:tcPr>
            <w:tcW w:w="94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9,733</w:t>
            </w:r>
          </w:p>
        </w:tc>
        <w:tc>
          <w:tcPr>
            <w:tcW w:w="0" w:type="dxa"/>
            <w:vAlign w:val="bottom"/>
          </w:tcPr>
          <w:p>
            <w:pPr>
              <w:spacing w:after="0"/>
              <w:rPr>
                <w:sz w:val="1"/>
                <w:szCs w:val="1"/>
                <w:color w:val="auto"/>
              </w:rPr>
            </w:pPr>
          </w:p>
        </w:tc>
      </w:tr>
      <w:tr>
        <w:trPr>
          <w:trHeight w:val="21"/>
        </w:trPr>
        <w:tc>
          <w:tcPr>
            <w:tcW w:w="3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1"/>
        </w:trPr>
        <w:tc>
          <w:tcPr>
            <w:tcW w:w="3240" w:type="dxa"/>
            <w:vAlign w:val="bottom"/>
          </w:tcPr>
          <w:p>
            <w:pPr>
              <w:spacing w:after="0"/>
              <w:rPr>
                <w:sz w:val="24"/>
                <w:szCs w:val="24"/>
                <w:color w:val="auto"/>
              </w:rPr>
            </w:pPr>
          </w:p>
        </w:tc>
        <w:tc>
          <w:tcPr>
            <w:tcW w:w="1940" w:type="dxa"/>
            <w:vAlign w:val="bottom"/>
            <w:tcBorders>
              <w:bottom w:val="single" w:sz="8" w:color="454545"/>
            </w:tcBorders>
            <w:gridSpan w:val="2"/>
          </w:tcPr>
          <w:p>
            <w:pPr>
              <w:jc w:val="right"/>
              <w:ind w:right="199"/>
              <w:spacing w:after="0"/>
              <w:rPr>
                <w:sz w:val="20"/>
                <w:szCs w:val="20"/>
                <w:color w:val="auto"/>
              </w:rPr>
            </w:pPr>
            <w:r>
              <w:rPr>
                <w:rFonts w:ascii="Arial" w:cs="Arial" w:eastAsia="Arial" w:hAnsi="Arial"/>
                <w:sz w:val="16"/>
                <w:szCs w:val="16"/>
                <w:b w:val="1"/>
                <w:bCs w:val="1"/>
                <w:color w:val="454545"/>
              </w:rPr>
              <w:t>Common stock</w:t>
            </w:r>
          </w:p>
        </w:tc>
        <w:tc>
          <w:tcPr>
            <w:tcW w:w="200" w:type="dxa"/>
            <w:vAlign w:val="bottom"/>
            <w:tcBorders>
              <w:bottom w:val="single" w:sz="8" w:color="454545"/>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454545"/>
              </w:rPr>
              <w:t>Accumulated</w:t>
            </w:r>
          </w:p>
        </w:tc>
        <w:tc>
          <w:tcPr>
            <w:tcW w:w="280" w:type="dxa"/>
            <w:vAlign w:val="bottom"/>
          </w:tcPr>
          <w:p>
            <w:pPr>
              <w:spacing w:after="0"/>
              <w:rPr>
                <w:sz w:val="14"/>
                <w:szCs w:val="14"/>
                <w:color w:val="auto"/>
              </w:rPr>
            </w:pPr>
          </w:p>
        </w:tc>
        <w:tc>
          <w:tcPr>
            <w:tcW w:w="94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454545"/>
              </w:rPr>
              <w:t>Equity</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jc w:val="center"/>
              <w:ind w:right="359"/>
              <w:spacing w:after="0" w:line="175" w:lineRule="exact"/>
              <w:rPr>
                <w:sz w:val="20"/>
                <w:szCs w:val="20"/>
                <w:color w:val="auto"/>
              </w:rPr>
            </w:pPr>
            <w:r>
              <w:rPr>
                <w:rFonts w:ascii="Arial" w:cs="Arial" w:eastAsia="Arial" w:hAnsi="Arial"/>
                <w:sz w:val="16"/>
                <w:szCs w:val="16"/>
                <w:b w:val="1"/>
                <w:bCs w:val="1"/>
                <w:color w:val="454545"/>
              </w:rPr>
              <w:t>other</w:t>
            </w:r>
          </w:p>
        </w:tc>
        <w:tc>
          <w:tcPr>
            <w:tcW w:w="2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Additional</w:t>
            </w:r>
          </w:p>
        </w:tc>
        <w:tc>
          <w:tcPr>
            <w:tcW w:w="160" w:type="dxa"/>
            <w:vAlign w:val="bottom"/>
          </w:tcPr>
          <w:p>
            <w:pPr>
              <w:spacing w:after="0"/>
              <w:rPr>
                <w:sz w:val="16"/>
                <w:szCs w:val="16"/>
                <w:color w:val="auto"/>
              </w:rPr>
            </w:pPr>
          </w:p>
        </w:tc>
        <w:tc>
          <w:tcPr>
            <w:tcW w:w="820" w:type="dxa"/>
            <w:vAlign w:val="bottom"/>
            <w:vMerge w:val="restart"/>
          </w:tcPr>
          <w:p>
            <w:pPr>
              <w:ind w:left="100"/>
              <w:spacing w:after="0"/>
              <w:rPr>
                <w:sz w:val="20"/>
                <w:szCs w:val="20"/>
                <w:color w:val="auto"/>
              </w:rPr>
            </w:pPr>
            <w:r>
              <w:rPr>
                <w:rFonts w:ascii="Arial" w:cs="Arial" w:eastAsia="Arial" w:hAnsi="Arial"/>
                <w:sz w:val="16"/>
                <w:szCs w:val="16"/>
                <w:b w:val="1"/>
                <w:bCs w:val="1"/>
                <w:color w:val="454545"/>
              </w:rPr>
              <w:t>Retained</w:t>
            </w:r>
          </w:p>
        </w:tc>
        <w:tc>
          <w:tcPr>
            <w:tcW w:w="14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comprehensive</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center"/>
              <w:ind w:right="119"/>
              <w:spacing w:after="0" w:line="175" w:lineRule="exact"/>
              <w:rPr>
                <w:sz w:val="20"/>
                <w:szCs w:val="20"/>
                <w:color w:val="auto"/>
              </w:rPr>
            </w:pPr>
            <w:r>
              <w:rPr>
                <w:rFonts w:ascii="Arial" w:cs="Arial" w:eastAsia="Arial" w:hAnsi="Arial"/>
                <w:sz w:val="16"/>
                <w:szCs w:val="16"/>
                <w:b w:val="1"/>
                <w:bCs w:val="1"/>
                <w:color w:val="454545"/>
              </w:rPr>
              <w:t>paid-in</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income (loss) –</w:t>
            </w:r>
          </w:p>
        </w:tc>
        <w:tc>
          <w:tcPr>
            <w:tcW w:w="122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noncontrolling</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4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102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Shares</w:t>
            </w:r>
          </w:p>
        </w:tc>
        <w:tc>
          <w:tcPr>
            <w:tcW w:w="920" w:type="dxa"/>
            <w:vAlign w:val="bottom"/>
            <w:tcBorders>
              <w:bottom w:val="single" w:sz="8" w:color="6022A6"/>
            </w:tcBorders>
          </w:tcPr>
          <w:p>
            <w:pPr>
              <w:ind w:left="260"/>
              <w:spacing w:after="0"/>
              <w:rPr>
                <w:sz w:val="20"/>
                <w:szCs w:val="20"/>
                <w:color w:val="auto"/>
              </w:rPr>
            </w:pPr>
            <w:r>
              <w:rPr>
                <w:rFonts w:ascii="Arial" w:cs="Arial" w:eastAsia="Arial" w:hAnsi="Arial"/>
                <w:sz w:val="16"/>
                <w:szCs w:val="16"/>
                <w:b w:val="1"/>
                <w:bCs w:val="1"/>
                <w:color w:val="454545"/>
              </w:rPr>
              <w:t>Amount</w:t>
            </w:r>
          </w:p>
        </w:tc>
        <w:tc>
          <w:tcPr>
            <w:tcW w:w="200" w:type="dxa"/>
            <w:vAlign w:val="bottom"/>
            <w:tcBorders>
              <w:bottom w:val="single" w:sz="8" w:color="6022A6"/>
            </w:tcBorders>
          </w:tcPr>
          <w:p>
            <w:pPr>
              <w:spacing w:after="0"/>
              <w:rPr>
                <w:sz w:val="20"/>
                <w:szCs w:val="20"/>
                <w:color w:val="auto"/>
              </w:rPr>
            </w:pPr>
          </w:p>
        </w:tc>
        <w:tc>
          <w:tcPr>
            <w:tcW w:w="220" w:type="dxa"/>
            <w:vAlign w:val="bottom"/>
            <w:tcBorders>
              <w:bottom w:val="single" w:sz="8" w:color="6022A6"/>
            </w:tcBorders>
          </w:tcPr>
          <w:p>
            <w:pPr>
              <w:spacing w:after="0"/>
              <w:rPr>
                <w:sz w:val="20"/>
                <w:szCs w:val="20"/>
                <w:color w:val="auto"/>
              </w:rPr>
            </w:pPr>
          </w:p>
        </w:tc>
        <w:tc>
          <w:tcPr>
            <w:tcW w:w="82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capital</w:t>
            </w:r>
          </w:p>
        </w:tc>
        <w:tc>
          <w:tcPr>
            <w:tcW w:w="160" w:type="dxa"/>
            <w:vAlign w:val="bottom"/>
            <w:tcBorders>
              <w:bottom w:val="single" w:sz="8" w:color="6022A6"/>
            </w:tcBorders>
          </w:tcPr>
          <w:p>
            <w:pPr>
              <w:spacing w:after="0"/>
              <w:rPr>
                <w:sz w:val="20"/>
                <w:szCs w:val="20"/>
                <w:color w:val="auto"/>
              </w:rPr>
            </w:pPr>
          </w:p>
        </w:tc>
        <w:tc>
          <w:tcPr>
            <w:tcW w:w="820" w:type="dxa"/>
            <w:vAlign w:val="bottom"/>
            <w:tcBorders>
              <w:bottom w:val="single" w:sz="8" w:color="6022A6"/>
            </w:tcBorders>
          </w:tcPr>
          <w:p>
            <w:pPr>
              <w:ind w:left="100"/>
              <w:spacing w:after="0"/>
              <w:rPr>
                <w:sz w:val="20"/>
                <w:szCs w:val="20"/>
                <w:color w:val="auto"/>
              </w:rPr>
            </w:pPr>
            <w:r>
              <w:rPr>
                <w:rFonts w:ascii="Arial" w:cs="Arial" w:eastAsia="Arial" w:hAnsi="Arial"/>
                <w:sz w:val="16"/>
                <w:szCs w:val="16"/>
                <w:b w:val="1"/>
                <w:bCs w:val="1"/>
                <w:color w:val="454545"/>
              </w:rPr>
              <w:t>earnings</w:t>
            </w:r>
          </w:p>
        </w:tc>
        <w:tc>
          <w:tcPr>
            <w:tcW w:w="140" w:type="dxa"/>
            <w:vAlign w:val="bottom"/>
            <w:tcBorders>
              <w:bottom w:val="single" w:sz="8" w:color="6022A6"/>
            </w:tcBorders>
          </w:tcPr>
          <w:p>
            <w:pPr>
              <w:spacing w:after="0"/>
              <w:rPr>
                <w:sz w:val="20"/>
                <w:szCs w:val="20"/>
                <w:color w:val="auto"/>
              </w:rPr>
            </w:pPr>
          </w:p>
        </w:tc>
        <w:tc>
          <w:tcPr>
            <w:tcW w:w="480" w:type="dxa"/>
            <w:vAlign w:val="bottom"/>
            <w:tcBorders>
              <w:bottom w:val="single" w:sz="8" w:color="6022A6"/>
            </w:tcBorders>
          </w:tcPr>
          <w:p>
            <w:pPr>
              <w:spacing w:after="0"/>
              <w:rPr>
                <w:sz w:val="20"/>
                <w:szCs w:val="20"/>
                <w:color w:val="auto"/>
              </w:rPr>
            </w:pPr>
          </w:p>
        </w:tc>
        <w:tc>
          <w:tcPr>
            <w:tcW w:w="860" w:type="dxa"/>
            <w:vAlign w:val="bottom"/>
            <w:tcBorders>
              <w:bottom w:val="single" w:sz="8" w:color="6022A6"/>
            </w:tcBorders>
          </w:tcPr>
          <w:p>
            <w:pPr>
              <w:jc w:val="center"/>
              <w:ind w:right="359"/>
              <w:spacing w:after="0"/>
              <w:rPr>
                <w:sz w:val="20"/>
                <w:szCs w:val="20"/>
                <w:color w:val="auto"/>
              </w:rPr>
            </w:pPr>
            <w:r>
              <w:rPr>
                <w:rFonts w:ascii="Arial" w:cs="Arial" w:eastAsia="Arial" w:hAnsi="Arial"/>
                <w:sz w:val="16"/>
                <w:szCs w:val="16"/>
                <w:b w:val="1"/>
                <w:bCs w:val="1"/>
                <w:color w:val="454545"/>
              </w:rPr>
              <w:t>net</w:t>
            </w:r>
          </w:p>
        </w:tc>
        <w:tc>
          <w:tcPr>
            <w:tcW w:w="280" w:type="dxa"/>
            <w:vAlign w:val="bottom"/>
            <w:tcBorders>
              <w:bottom w:val="single" w:sz="8" w:color="6022A6"/>
            </w:tcBorders>
          </w:tcPr>
          <w:p>
            <w:pPr>
              <w:spacing w:after="0"/>
              <w:rPr>
                <w:sz w:val="20"/>
                <w:szCs w:val="20"/>
                <w:color w:val="auto"/>
              </w:rPr>
            </w:pPr>
          </w:p>
        </w:tc>
        <w:tc>
          <w:tcPr>
            <w:tcW w:w="940" w:type="dxa"/>
            <w:vAlign w:val="bottom"/>
            <w:tcBorders>
              <w:bottom w:val="single" w:sz="8" w:color="6022A6"/>
            </w:tcBorders>
          </w:tcPr>
          <w:p>
            <w:pPr>
              <w:jc w:val="center"/>
              <w:ind w:right="159"/>
              <w:spacing w:after="0"/>
              <w:rPr>
                <w:sz w:val="20"/>
                <w:szCs w:val="20"/>
                <w:color w:val="auto"/>
              </w:rPr>
            </w:pPr>
            <w:r>
              <w:rPr>
                <w:rFonts w:ascii="Arial" w:cs="Arial" w:eastAsia="Arial" w:hAnsi="Arial"/>
                <w:sz w:val="16"/>
                <w:szCs w:val="16"/>
                <w:b w:val="1"/>
                <w:bCs w:val="1"/>
                <w:color w:val="454545"/>
                <w:w w:val="98"/>
              </w:rPr>
              <w:t>interests</w:t>
            </w:r>
          </w:p>
        </w:tc>
        <w:tc>
          <w:tcPr>
            <w:tcW w:w="1100" w:type="dxa"/>
            <w:vAlign w:val="bottom"/>
            <w:tcBorders>
              <w:bottom w:val="single" w:sz="8" w:color="6022A6"/>
            </w:tcBorders>
            <w:gridSpan w:val="3"/>
          </w:tcPr>
          <w:p>
            <w:pPr>
              <w:jc w:val="right"/>
              <w:spacing w:after="0"/>
              <w:rPr>
                <w:sz w:val="20"/>
                <w:szCs w:val="20"/>
                <w:color w:val="auto"/>
              </w:rPr>
            </w:pPr>
            <w:r>
              <w:rPr>
                <w:rFonts w:ascii="Arial" w:cs="Arial" w:eastAsia="Arial" w:hAnsi="Arial"/>
                <w:sz w:val="16"/>
                <w:szCs w:val="16"/>
                <w:b w:val="1"/>
                <w:bCs w:val="1"/>
                <w:color w:val="454545"/>
              </w:rPr>
              <w:t>Total equity</w:t>
            </w:r>
          </w:p>
        </w:tc>
        <w:tc>
          <w:tcPr>
            <w:tcW w:w="0" w:type="dxa"/>
            <w:vAlign w:val="bottom"/>
          </w:tcPr>
          <w:p>
            <w:pPr>
              <w:spacing w:after="0"/>
              <w:rPr>
                <w:sz w:val="1"/>
                <w:szCs w:val="1"/>
                <w:color w:val="auto"/>
              </w:rPr>
            </w:pPr>
          </w:p>
        </w:tc>
      </w:tr>
      <w:tr>
        <w:trPr>
          <w:trHeight w:val="233"/>
        </w:trPr>
        <w:tc>
          <w:tcPr>
            <w:tcW w:w="324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March 31, 2024</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456</w:t>
            </w:r>
          </w:p>
        </w:tc>
        <w:tc>
          <w:tcPr>
            <w:tcW w:w="920" w:type="dxa"/>
            <w:vAlign w:val="bottom"/>
            <w:shd w:val="clear" w:color="auto" w:fill="E4E4E4"/>
          </w:tcPr>
          <w:p>
            <w:pPr>
              <w:jc w:val="right"/>
              <w:ind w:right="699"/>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220" w:type="dxa"/>
            <w:vAlign w:val="bottom"/>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6,504</w:t>
            </w:r>
          </w:p>
        </w:tc>
        <w:tc>
          <w:tcPr>
            <w:tcW w:w="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1,687</w:t>
            </w:r>
          </w:p>
        </w:tc>
        <w:tc>
          <w:tcPr>
            <w:tcW w:w="480" w:type="dxa"/>
            <w:vAlign w:val="bottom"/>
            <w:shd w:val="clear" w:color="auto" w:fill="E4E4E4"/>
          </w:tcPr>
          <w:p>
            <w:pPr>
              <w:jc w:val="right"/>
              <w:ind w:right="25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(787)</w:t>
            </w:r>
          </w:p>
        </w:tc>
        <w:tc>
          <w:tcPr>
            <w:tcW w:w="280" w:type="dxa"/>
            <w:vAlign w:val="bottom"/>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260" w:type="dxa"/>
            <w:vAlign w:val="bottom"/>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E4E4E4"/>
          </w:tcPr>
          <w:p>
            <w:pPr>
              <w:spacing w:after="0"/>
              <w:rPr>
                <w:sz w:val="20"/>
                <w:szCs w:val="20"/>
                <w:color w:val="auto"/>
              </w:rPr>
            </w:pPr>
          </w:p>
        </w:tc>
        <w:tc>
          <w:tcPr>
            <w:tcW w:w="5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7,423</w:t>
            </w:r>
          </w:p>
        </w:tc>
        <w:tc>
          <w:tcPr>
            <w:tcW w:w="0" w:type="dxa"/>
            <w:vAlign w:val="bottom"/>
          </w:tcPr>
          <w:p>
            <w:pPr>
              <w:spacing w:after="0"/>
              <w:rPr>
                <w:sz w:val="1"/>
                <w:szCs w:val="1"/>
                <w:color w:val="auto"/>
              </w:rPr>
            </w:pPr>
          </w:p>
        </w:tc>
      </w:tr>
      <w:tr>
        <w:trPr>
          <w:trHeight w:val="21"/>
        </w:trPr>
        <w:tc>
          <w:tcPr>
            <w:tcW w:w="324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920" w:type="dxa"/>
            <w:vAlign w:val="bottom"/>
            <w:shd w:val="clear" w:color="auto" w:fill="E4E4E4"/>
          </w:tcPr>
          <w:p>
            <w:pPr>
              <w:spacing w:after="0" w:line="20" w:lineRule="exact"/>
              <w:rPr>
                <w:sz w:val="1"/>
                <w:szCs w:val="1"/>
                <w:color w:val="auto"/>
              </w:rPr>
            </w:pPr>
          </w:p>
        </w:tc>
        <w:tc>
          <w:tcPr>
            <w:tcW w:w="200" w:type="dxa"/>
            <w:vAlign w:val="bottom"/>
            <w:shd w:val="clear" w:color="auto" w:fill="E4E4E4"/>
          </w:tcPr>
          <w:p>
            <w:pPr>
              <w:spacing w:after="0" w:line="20" w:lineRule="exact"/>
              <w:rPr>
                <w:sz w:val="1"/>
                <w:szCs w:val="1"/>
                <w:color w:val="auto"/>
              </w:rPr>
            </w:pPr>
          </w:p>
        </w:tc>
        <w:tc>
          <w:tcPr>
            <w:tcW w:w="220" w:type="dxa"/>
            <w:vAlign w:val="bottom"/>
            <w:shd w:val="clear" w:color="auto" w:fill="E4E4E4"/>
          </w:tcPr>
          <w:p>
            <w:pPr>
              <w:spacing w:after="0" w:line="20" w:lineRule="exact"/>
              <w:rPr>
                <w:sz w:val="1"/>
                <w:szCs w:val="1"/>
                <w:color w:val="auto"/>
              </w:rPr>
            </w:pPr>
          </w:p>
        </w:tc>
        <w:tc>
          <w:tcPr>
            <w:tcW w:w="820" w:type="dxa"/>
            <w:vAlign w:val="bottom"/>
            <w:shd w:val="clear" w:color="auto" w:fill="E4E4E4"/>
          </w:tcPr>
          <w:p>
            <w:pPr>
              <w:spacing w:after="0" w:line="20" w:lineRule="exact"/>
              <w:rPr>
                <w:sz w:val="1"/>
                <w:szCs w:val="1"/>
                <w:color w:val="auto"/>
              </w:rPr>
            </w:pPr>
          </w:p>
        </w:tc>
        <w:tc>
          <w:tcPr>
            <w:tcW w:w="160" w:type="dxa"/>
            <w:vAlign w:val="bottom"/>
            <w:shd w:val="clear" w:color="auto" w:fill="E4E4E4"/>
          </w:tcPr>
          <w:p>
            <w:pPr>
              <w:spacing w:after="0" w:line="20" w:lineRule="exact"/>
              <w:rPr>
                <w:sz w:val="1"/>
                <w:szCs w:val="1"/>
                <w:color w:val="auto"/>
              </w:rPr>
            </w:pPr>
          </w:p>
        </w:tc>
        <w:tc>
          <w:tcPr>
            <w:tcW w:w="8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480" w:type="dxa"/>
            <w:vAlign w:val="bottom"/>
            <w:shd w:val="clear" w:color="auto" w:fill="E4E4E4"/>
          </w:tcPr>
          <w:p>
            <w:pPr>
              <w:spacing w:after="0" w:line="20" w:lineRule="exact"/>
              <w:rPr>
                <w:sz w:val="1"/>
                <w:szCs w:val="1"/>
                <w:color w:val="auto"/>
              </w:rPr>
            </w:pPr>
          </w:p>
        </w:tc>
        <w:tc>
          <w:tcPr>
            <w:tcW w:w="860" w:type="dxa"/>
            <w:vAlign w:val="bottom"/>
            <w:shd w:val="clear" w:color="auto" w:fill="E4E4E4"/>
          </w:tcPr>
          <w:p>
            <w:pPr>
              <w:spacing w:after="0" w:line="20" w:lineRule="exact"/>
              <w:rPr>
                <w:sz w:val="1"/>
                <w:szCs w:val="1"/>
                <w:color w:val="auto"/>
              </w:rPr>
            </w:pPr>
          </w:p>
        </w:tc>
        <w:tc>
          <w:tcPr>
            <w:tcW w:w="280" w:type="dxa"/>
            <w:vAlign w:val="bottom"/>
            <w:shd w:val="clear" w:color="auto" w:fill="E4E4E4"/>
          </w:tcPr>
          <w:p>
            <w:pPr>
              <w:spacing w:after="0" w:line="20" w:lineRule="exact"/>
              <w:rPr>
                <w:sz w:val="1"/>
                <w:szCs w:val="1"/>
                <w:color w:val="auto"/>
              </w:rPr>
            </w:pPr>
          </w:p>
        </w:tc>
        <w:tc>
          <w:tcPr>
            <w:tcW w:w="940" w:type="dxa"/>
            <w:vAlign w:val="bottom"/>
            <w:shd w:val="clear" w:color="auto" w:fill="E4E4E4"/>
          </w:tcPr>
          <w:p>
            <w:pPr>
              <w:spacing w:after="0" w:line="20" w:lineRule="exact"/>
              <w:rPr>
                <w:sz w:val="1"/>
                <w:szCs w:val="1"/>
                <w:color w:val="auto"/>
              </w:rPr>
            </w:pPr>
          </w:p>
        </w:tc>
        <w:tc>
          <w:tcPr>
            <w:tcW w:w="260" w:type="dxa"/>
            <w:vAlign w:val="bottom"/>
            <w:shd w:val="clear" w:color="auto" w:fill="E4E4E4"/>
          </w:tcPr>
          <w:p>
            <w:pPr>
              <w:spacing w:after="0" w:line="20" w:lineRule="exact"/>
              <w:rPr>
                <w:sz w:val="1"/>
                <w:szCs w:val="1"/>
                <w:color w:val="auto"/>
              </w:rPr>
            </w:pPr>
          </w:p>
        </w:tc>
        <w:tc>
          <w:tcPr>
            <w:tcW w:w="260" w:type="dxa"/>
            <w:vAlign w:val="bottom"/>
            <w:shd w:val="clear" w:color="auto" w:fill="E4E4E4"/>
          </w:tcPr>
          <w:p>
            <w:pPr>
              <w:spacing w:after="0" w:line="20" w:lineRule="exact"/>
              <w:rPr>
                <w:sz w:val="1"/>
                <w:szCs w:val="1"/>
                <w:color w:val="auto"/>
              </w:rPr>
            </w:pPr>
          </w:p>
        </w:tc>
        <w:tc>
          <w:tcPr>
            <w:tcW w:w="5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30" w:right="359" w:bottom="1440" w:gutter="0" w:footer="0" w:header="0"/>
          <w:type w:val="continuous"/>
        </w:sectPr>
      </w:pPr>
    </w:p>
    <w:p>
      <w:pPr>
        <w:ind w:left="40" w:right="14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40" w:right="500"/>
        <w:spacing w:after="0" w:line="299" w:lineRule="auto"/>
        <w:rPr>
          <w:sz w:val="20"/>
          <w:szCs w:val="20"/>
          <w:color w:val="auto"/>
        </w:rPr>
      </w:pPr>
      <w:r>
        <w:rPr>
          <w:rFonts w:ascii="Arial" w:cs="Arial" w:eastAsia="Arial" w:hAnsi="Arial"/>
          <w:sz w:val="16"/>
          <w:szCs w:val="16"/>
          <w:color w:val="auto"/>
        </w:rPr>
        <w:t>Dividends declared ($0.03 per common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40" w:right="100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tcPr>
          <w:p>
            <w:pPr>
              <w:ind w:left="4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65"/>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tcPr>
          <w:p>
            <w:pPr>
              <w:ind w:left="4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rPr>
              <w:t>428</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351"/>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tcPr>
          <w:p>
            <w:pPr>
              <w:ind w:left="4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(14)</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459"/>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tcPr>
          <w:p>
            <w:pPr>
              <w:ind w:left="4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rPr>
              <w:t>(58)</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459"/>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tcPr>
          <w:p>
            <w:pPr>
              <w:ind w:left="4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2</w:t>
            </w: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65"/>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tcPr>
          <w:p>
            <w:pPr>
              <w:ind w:left="4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39"/>
              <w:spacing w:after="0"/>
              <w:rPr>
                <w:sz w:val="20"/>
                <w:szCs w:val="20"/>
                <w:color w:val="auto"/>
              </w:rPr>
            </w:pPr>
            <w:r>
              <w:rPr>
                <w:rFonts w:ascii="Arial" w:cs="Arial" w:eastAsia="Arial" w:hAnsi="Arial"/>
                <w:sz w:val="16"/>
                <w:szCs w:val="16"/>
                <w:color w:val="auto"/>
              </w:rPr>
              <w:t>36</w:t>
            </w:r>
          </w:p>
        </w:tc>
        <w:tc>
          <w:tcPr>
            <w:tcW w:w="12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-1181100</wp:posOffset>
            </wp:positionV>
            <wp:extent cx="71151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-727075</wp:posOffset>
            </wp:positionV>
            <wp:extent cx="7115175"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-144145</wp:posOffset>
            </wp:positionV>
            <wp:extent cx="71151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360" w:space="720"/>
            <w:col w:w="7140"/>
          </w:cols>
          <w:pgMar w:left="320" w:top="130" w:right="359" w:bottom="1440" w:gutter="0" w:footer="0" w:header="0"/>
          <w:type w:val="continuous"/>
        </w:sectPr>
      </w:pPr>
    </w:p>
    <w:p>
      <w:pPr>
        <w:ind w:left="40"/>
        <w:spacing w:after="0"/>
        <w:tabs>
          <w:tab w:leader="none" w:pos="3960" w:val="left"/>
          <w:tab w:leader="none" w:pos="5220" w:val="left"/>
          <w:tab w:leader="none" w:pos="5980" w:val="left"/>
          <w:tab w:leader="none" w:pos="7100" w:val="left"/>
          <w:tab w:leader="none" w:pos="8480" w:val="left"/>
          <w:tab w:leader="none" w:pos="9880" w:val="left"/>
          <w:tab w:leader="none" w:pos="10720" w:val="left"/>
        </w:tabs>
        <w:rPr>
          <w:sz w:val="20"/>
          <w:szCs w:val="20"/>
          <w:color w:val="auto"/>
        </w:rPr>
      </w:pPr>
      <w:r>
        <w:rPr>
          <w:rFonts w:ascii="Arial" w:cs="Arial" w:eastAsia="Arial" w:hAnsi="Arial"/>
          <w:sz w:val="16"/>
          <w:szCs w:val="16"/>
          <w:b w:val="1"/>
          <w:bCs w:val="1"/>
          <w:color w:val="auto"/>
        </w:rPr>
        <w:t>Balances as of June 30, 2024</w:t>
      </w:r>
      <w:r>
        <w:rPr>
          <w:sz w:val="20"/>
          <w:szCs w:val="20"/>
          <w:color w:val="auto"/>
        </w:rPr>
        <w:tab/>
      </w:r>
      <w:r>
        <w:rPr>
          <w:rFonts w:ascii="Arial" w:cs="Arial" w:eastAsia="Arial" w:hAnsi="Arial"/>
          <w:sz w:val="16"/>
          <w:szCs w:val="16"/>
          <w:b w:val="1"/>
          <w:bCs w:val="1"/>
          <w:color w:val="auto"/>
        </w:rPr>
        <w:t>457 $</w:t>
      </w:r>
      <w:r>
        <w:rPr>
          <w:sz w:val="20"/>
          <w:szCs w:val="20"/>
          <w:color w:val="auto"/>
        </w:rPr>
        <w:tab/>
      </w:r>
      <w:r>
        <w:rPr>
          <w:rFonts w:ascii="Arial" w:cs="Arial" w:eastAsia="Arial" w:hAnsi="Arial"/>
          <w:sz w:val="16"/>
          <w:szCs w:val="16"/>
          <w:b w:val="1"/>
          <w:bCs w:val="1"/>
          <w:color w:val="auto"/>
        </w:rPr>
        <w:t>5 $</w:t>
      </w:r>
      <w:r>
        <w:rPr>
          <w:sz w:val="20"/>
          <w:szCs w:val="20"/>
          <w:color w:val="auto"/>
        </w:rPr>
        <w:tab/>
      </w:r>
      <w:r>
        <w:rPr>
          <w:rFonts w:ascii="Arial" w:cs="Arial" w:eastAsia="Arial" w:hAnsi="Arial"/>
          <w:sz w:val="16"/>
          <w:szCs w:val="16"/>
          <w:b w:val="1"/>
          <w:bCs w:val="1"/>
          <w:color w:val="auto"/>
        </w:rPr>
        <w:t>6,540 $</w:t>
      </w:r>
      <w:r>
        <w:rPr>
          <w:sz w:val="20"/>
          <w:szCs w:val="20"/>
          <w:color w:val="auto"/>
        </w:rPr>
        <w:tab/>
      </w:r>
      <w:r>
        <w:rPr>
          <w:rFonts w:ascii="Arial" w:cs="Arial" w:eastAsia="Arial" w:hAnsi="Arial"/>
          <w:sz w:val="16"/>
          <w:szCs w:val="16"/>
          <w:b w:val="1"/>
          <w:bCs w:val="1"/>
          <w:color w:val="auto"/>
        </w:rPr>
        <w:t>2,101 $</w:t>
      </w:r>
      <w:r>
        <w:rPr>
          <w:sz w:val="20"/>
          <w:szCs w:val="20"/>
          <w:color w:val="auto"/>
        </w:rPr>
        <w:tab/>
      </w:r>
      <w:r>
        <w:rPr>
          <w:rFonts w:ascii="Arial" w:cs="Arial" w:eastAsia="Arial" w:hAnsi="Arial"/>
          <w:sz w:val="16"/>
          <w:szCs w:val="16"/>
          <w:b w:val="1"/>
          <w:bCs w:val="1"/>
          <w:color w:val="auto"/>
        </w:rPr>
        <w:t>(845) $</w:t>
      </w:r>
      <w:r>
        <w:rPr>
          <w:sz w:val="20"/>
          <w:szCs w:val="20"/>
          <w:color w:val="auto"/>
        </w:rPr>
        <w:tab/>
      </w:r>
      <w:r>
        <w:rPr>
          <w:rFonts w:ascii="Arial" w:cs="Arial" w:eastAsia="Arial" w:hAnsi="Arial"/>
          <w:sz w:val="16"/>
          <w:szCs w:val="16"/>
          <w:b w:val="1"/>
          <w:bCs w:val="1"/>
          <w:color w:val="auto"/>
        </w:rPr>
        <w:t>16 $</w:t>
      </w:r>
      <w:r>
        <w:rPr>
          <w:sz w:val="20"/>
          <w:szCs w:val="20"/>
          <w:color w:val="auto"/>
        </w:rPr>
        <w:tab/>
      </w:r>
      <w:r>
        <w:rPr>
          <w:rFonts w:ascii="Arial" w:cs="Arial" w:eastAsia="Arial" w:hAnsi="Arial"/>
          <w:sz w:val="16"/>
          <w:szCs w:val="16"/>
          <w:b w:val="1"/>
          <w:bCs w:val="1"/>
          <w:color w:val="auto"/>
        </w:rPr>
        <w:t>7,817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720" w:type="dxa"/>
            <w:vAlign w:val="bottom"/>
            <w:gridSpan w:val="5"/>
          </w:tcPr>
          <w:p>
            <w:pPr>
              <w:ind w:left="20"/>
              <w:spacing w:after="0"/>
              <w:rPr>
                <w:sz w:val="20"/>
                <w:szCs w:val="20"/>
                <w:color w:val="auto"/>
              </w:rPr>
            </w:pPr>
            <w:r>
              <w:rPr>
                <w:rFonts w:ascii="Arial" w:cs="Arial" w:eastAsia="Arial" w:hAnsi="Arial"/>
                <w:sz w:val="16"/>
                <w:szCs w:val="16"/>
                <w:b w:val="1"/>
                <w:bCs w:val="1"/>
                <w:color w:val="auto"/>
              </w:rPr>
              <w:t>Condensed Consolidated Statements of Changes in Equity (Unaudited)</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Common stock</w:t>
            </w:r>
          </w:p>
        </w:tc>
        <w:tc>
          <w:tcPr>
            <w:tcW w:w="18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Treasury stock</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62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454545"/>
              </w:rPr>
              <w:t>Accumulated</w:t>
            </w:r>
          </w:p>
        </w:tc>
        <w:tc>
          <w:tcPr>
            <w:tcW w:w="180" w:type="dxa"/>
            <w:vAlign w:val="bottom"/>
          </w:tcPr>
          <w:p>
            <w:pPr>
              <w:spacing w:after="0" w:line="20" w:lineRule="exact"/>
              <w:rPr>
                <w:sz w:val="1"/>
                <w:szCs w:val="1"/>
                <w:color w:val="auto"/>
              </w:rPr>
            </w:pPr>
          </w:p>
        </w:tc>
        <w:tc>
          <w:tcPr>
            <w:tcW w:w="10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454545"/>
                <w:w w:val="98"/>
              </w:rPr>
              <w:t>Equity</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Additional</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comprehensive</w:t>
            </w:r>
          </w:p>
        </w:tc>
        <w:tc>
          <w:tcPr>
            <w:tcW w:w="12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attributable to</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454545"/>
              </w:rPr>
              <w:t>Shares</w:t>
            </w:r>
          </w:p>
        </w:tc>
        <w:tc>
          <w:tcPr>
            <w:tcW w:w="800" w:type="dxa"/>
            <w:vAlign w:val="bottom"/>
            <w:gridSpan w:val="2"/>
            <w:vMerge w:val="restart"/>
          </w:tcPr>
          <w:p>
            <w:pPr>
              <w:jc w:val="right"/>
              <w:ind w:right="24"/>
              <w:spacing w:after="0"/>
              <w:rPr>
                <w:sz w:val="20"/>
                <w:szCs w:val="20"/>
                <w:color w:val="auto"/>
              </w:rPr>
            </w:pPr>
            <w:r>
              <w:rPr>
                <w:rFonts w:ascii="Arial" w:cs="Arial" w:eastAsia="Arial" w:hAnsi="Arial"/>
                <w:sz w:val="16"/>
                <w:szCs w:val="16"/>
                <w:b w:val="1"/>
                <w:bCs w:val="1"/>
                <w:color w:val="454545"/>
              </w:rPr>
              <w:t>Amount</w:t>
            </w:r>
          </w:p>
        </w:tc>
        <w:tc>
          <w:tcPr>
            <w:tcW w:w="14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Shares  Amount</w:t>
            </w:r>
          </w:p>
        </w:tc>
        <w:tc>
          <w:tcPr>
            <w:tcW w:w="140" w:type="dxa"/>
            <w:vAlign w:val="bottom"/>
          </w:tcPr>
          <w:p>
            <w:pPr>
              <w:spacing w:after="0"/>
              <w:rPr>
                <w:sz w:val="15"/>
                <w:szCs w:val="15"/>
                <w:color w:val="auto"/>
              </w:rPr>
            </w:pPr>
          </w:p>
        </w:tc>
        <w:tc>
          <w:tcPr>
            <w:tcW w:w="740" w:type="dxa"/>
            <w:vAlign w:val="bottom"/>
          </w:tcPr>
          <w:p>
            <w:pPr>
              <w:jc w:val="center"/>
              <w:ind w:right="59"/>
              <w:spacing w:after="0" w:line="176" w:lineRule="exact"/>
              <w:rPr>
                <w:sz w:val="20"/>
                <w:szCs w:val="20"/>
                <w:color w:val="auto"/>
              </w:rPr>
            </w:pPr>
            <w:r>
              <w:rPr>
                <w:rFonts w:ascii="Arial" w:cs="Arial" w:eastAsia="Arial" w:hAnsi="Arial"/>
                <w:sz w:val="16"/>
                <w:szCs w:val="16"/>
                <w:b w:val="1"/>
                <w:bCs w:val="1"/>
                <w:color w:val="454545"/>
                <w:w w:val="99"/>
              </w:rPr>
              <w:t>paid-in</w:t>
            </w:r>
          </w:p>
        </w:tc>
        <w:tc>
          <w:tcPr>
            <w:tcW w:w="800" w:type="dxa"/>
            <w:vAlign w:val="bottom"/>
          </w:tcPr>
          <w:p>
            <w:pPr>
              <w:jc w:val="right"/>
              <w:spacing w:after="0" w:line="176" w:lineRule="exact"/>
              <w:rPr>
                <w:sz w:val="20"/>
                <w:szCs w:val="20"/>
                <w:color w:val="auto"/>
              </w:rPr>
            </w:pPr>
            <w:r>
              <w:rPr>
                <w:rFonts w:ascii="Arial" w:cs="Arial" w:eastAsia="Arial" w:hAnsi="Arial"/>
                <w:sz w:val="16"/>
                <w:szCs w:val="16"/>
                <w:b w:val="1"/>
                <w:bCs w:val="1"/>
                <w:color w:val="454545"/>
              </w:rPr>
              <w:t>Retained</w:t>
            </w:r>
          </w:p>
        </w:tc>
        <w:tc>
          <w:tcPr>
            <w:tcW w:w="2500" w:type="dxa"/>
            <w:vAlign w:val="bottom"/>
            <w:gridSpan w:val="4"/>
          </w:tcPr>
          <w:p>
            <w:pPr>
              <w:jc w:val="right"/>
              <w:spacing w:after="0" w:line="176" w:lineRule="exact"/>
              <w:rPr>
                <w:sz w:val="20"/>
                <w:szCs w:val="20"/>
                <w:color w:val="auto"/>
              </w:rPr>
            </w:pPr>
            <w:r>
              <w:rPr>
                <w:rFonts w:ascii="Arial" w:cs="Arial" w:eastAsia="Arial" w:hAnsi="Arial"/>
                <w:sz w:val="16"/>
                <w:szCs w:val="16"/>
                <w:b w:val="1"/>
                <w:bCs w:val="1"/>
                <w:color w:val="454545"/>
              </w:rPr>
              <w:t>income (loss) – noncontrolling</w:t>
            </w:r>
          </w:p>
        </w:tc>
        <w:tc>
          <w:tcPr>
            <w:tcW w:w="140" w:type="dxa"/>
            <w:vAlign w:val="bottom"/>
          </w:tcPr>
          <w:p>
            <w:pPr>
              <w:spacing w:after="0"/>
              <w:rPr>
                <w:sz w:val="15"/>
                <w:szCs w:val="15"/>
                <w:color w:val="auto"/>
              </w:rPr>
            </w:pPr>
          </w:p>
        </w:tc>
        <w:tc>
          <w:tcPr>
            <w:tcW w:w="680" w:type="dxa"/>
            <w:vAlign w:val="bottom"/>
          </w:tcPr>
          <w:p>
            <w:pPr>
              <w:jc w:val="center"/>
              <w:ind w:right="59"/>
              <w:spacing w:after="0" w:line="176" w:lineRule="exact"/>
              <w:rPr>
                <w:sz w:val="20"/>
                <w:szCs w:val="20"/>
                <w:color w:val="auto"/>
              </w:rPr>
            </w:pPr>
            <w:r>
              <w:rPr>
                <w:rFonts w:ascii="Arial" w:cs="Arial" w:eastAsia="Arial" w:hAnsi="Arial"/>
                <w:sz w:val="16"/>
                <w:szCs w:val="16"/>
                <w:b w:val="1"/>
                <w:bCs w:val="1"/>
                <w:color w:val="454545"/>
                <w:w w:val="99"/>
              </w:rPr>
              <w:t>Total</w:t>
            </w:r>
          </w:p>
        </w:tc>
        <w:tc>
          <w:tcPr>
            <w:tcW w:w="0" w:type="dxa"/>
            <w:vAlign w:val="bottom"/>
          </w:tcPr>
          <w:p>
            <w:pPr>
              <w:spacing w:after="0"/>
              <w:rPr>
                <w:sz w:val="1"/>
                <w:szCs w:val="1"/>
                <w:color w:val="auto"/>
              </w:rPr>
            </w:pPr>
          </w:p>
        </w:tc>
      </w:tr>
      <w:tr>
        <w:trPr>
          <w:trHeight w:val="239"/>
        </w:trPr>
        <w:tc>
          <w:tcPr>
            <w:tcW w:w="3200" w:type="dxa"/>
            <w:vAlign w:val="bottom"/>
            <w:tcBorders>
              <w:bottom w:val="single" w:sz="8" w:color="6400A0"/>
            </w:tcBorders>
            <w:vMerge w:val="continue"/>
          </w:tcPr>
          <w:p>
            <w:pPr>
              <w:spacing w:after="0"/>
              <w:rPr>
                <w:sz w:val="20"/>
                <w:szCs w:val="20"/>
                <w:color w:val="auto"/>
              </w:rPr>
            </w:pPr>
          </w:p>
        </w:tc>
        <w:tc>
          <w:tcPr>
            <w:tcW w:w="720" w:type="dxa"/>
            <w:vAlign w:val="bottom"/>
            <w:tcBorders>
              <w:bottom w:val="single" w:sz="8" w:color="6400A0"/>
            </w:tcBorders>
            <w:vMerge w:val="continue"/>
          </w:tcPr>
          <w:p>
            <w:pPr>
              <w:spacing w:after="0"/>
              <w:rPr>
                <w:sz w:val="20"/>
                <w:szCs w:val="20"/>
                <w:color w:val="auto"/>
              </w:rPr>
            </w:pPr>
          </w:p>
        </w:tc>
        <w:tc>
          <w:tcPr>
            <w:tcW w:w="800" w:type="dxa"/>
            <w:vAlign w:val="bottom"/>
            <w:tcBorders>
              <w:bottom w:val="single" w:sz="8" w:color="6400A0"/>
            </w:tcBorders>
            <w:gridSpan w:val="2"/>
            <w:vMerge w:val="continue"/>
          </w:tcPr>
          <w:p>
            <w:pPr>
              <w:spacing w:after="0"/>
              <w:rPr>
                <w:sz w:val="20"/>
                <w:szCs w:val="20"/>
                <w:color w:val="auto"/>
              </w:rPr>
            </w:pPr>
          </w:p>
        </w:tc>
        <w:tc>
          <w:tcPr>
            <w:tcW w:w="1480" w:type="dxa"/>
            <w:vAlign w:val="bottom"/>
            <w:tcBorders>
              <w:bottom w:val="single" w:sz="8" w:color="6400A0"/>
            </w:tcBorders>
            <w:gridSpan w:val="2"/>
            <w:vMerge w:val="continue"/>
          </w:tcPr>
          <w:p>
            <w:pPr>
              <w:spacing w:after="0"/>
              <w:rPr>
                <w:sz w:val="20"/>
                <w:szCs w:val="20"/>
                <w:color w:val="auto"/>
              </w:rPr>
            </w:pPr>
          </w:p>
        </w:tc>
        <w:tc>
          <w:tcPr>
            <w:tcW w:w="140" w:type="dxa"/>
            <w:vAlign w:val="bottom"/>
            <w:tcBorders>
              <w:bottom w:val="single" w:sz="8" w:color="6400A0"/>
            </w:tcBorders>
          </w:tcPr>
          <w:p>
            <w:pPr>
              <w:spacing w:after="0"/>
              <w:rPr>
                <w:sz w:val="20"/>
                <w:szCs w:val="20"/>
                <w:color w:val="auto"/>
              </w:rPr>
            </w:pPr>
          </w:p>
        </w:tc>
        <w:tc>
          <w:tcPr>
            <w:tcW w:w="740" w:type="dxa"/>
            <w:vAlign w:val="bottom"/>
            <w:tcBorders>
              <w:bottom w:val="single" w:sz="8" w:color="6400A0"/>
            </w:tcBorders>
          </w:tcPr>
          <w:p>
            <w:pPr>
              <w:jc w:val="center"/>
              <w:ind w:right="59"/>
              <w:spacing w:after="0"/>
              <w:rPr>
                <w:sz w:val="20"/>
                <w:szCs w:val="20"/>
                <w:color w:val="auto"/>
              </w:rPr>
            </w:pPr>
            <w:r>
              <w:rPr>
                <w:rFonts w:ascii="Arial" w:cs="Arial" w:eastAsia="Arial" w:hAnsi="Arial"/>
                <w:sz w:val="16"/>
                <w:szCs w:val="16"/>
                <w:b w:val="1"/>
                <w:bCs w:val="1"/>
                <w:color w:val="454545"/>
              </w:rPr>
              <w:t>capital</w:t>
            </w:r>
          </w:p>
        </w:tc>
        <w:tc>
          <w:tcPr>
            <w:tcW w:w="800" w:type="dxa"/>
            <w:vAlign w:val="bottom"/>
            <w:tcBorders>
              <w:bottom w:val="single" w:sz="8" w:color="6400A0"/>
            </w:tcBorders>
          </w:tcPr>
          <w:p>
            <w:pPr>
              <w:jc w:val="right"/>
              <w:spacing w:after="0"/>
              <w:rPr>
                <w:sz w:val="20"/>
                <w:szCs w:val="20"/>
                <w:color w:val="auto"/>
              </w:rPr>
            </w:pPr>
            <w:r>
              <w:rPr>
                <w:rFonts w:ascii="Arial" w:cs="Arial" w:eastAsia="Arial" w:hAnsi="Arial"/>
                <w:sz w:val="16"/>
                <w:szCs w:val="16"/>
                <w:b w:val="1"/>
                <w:bCs w:val="1"/>
                <w:color w:val="454545"/>
              </w:rPr>
              <w:t>earnings</w:t>
            </w:r>
          </w:p>
        </w:tc>
        <w:tc>
          <w:tcPr>
            <w:tcW w:w="140" w:type="dxa"/>
            <w:vAlign w:val="bottom"/>
            <w:tcBorders>
              <w:bottom w:val="single" w:sz="8" w:color="6400A0"/>
            </w:tcBorders>
          </w:tcPr>
          <w:p>
            <w:pPr>
              <w:spacing w:after="0"/>
              <w:rPr>
                <w:sz w:val="20"/>
                <w:szCs w:val="20"/>
                <w:color w:val="auto"/>
              </w:rPr>
            </w:pPr>
          </w:p>
        </w:tc>
        <w:tc>
          <w:tcPr>
            <w:tcW w:w="1160" w:type="dxa"/>
            <w:vAlign w:val="bottom"/>
            <w:tcBorders>
              <w:bottom w:val="single" w:sz="8" w:color="6400A0"/>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180" w:type="dxa"/>
            <w:vAlign w:val="bottom"/>
            <w:tcBorders>
              <w:bottom w:val="single" w:sz="8" w:color="6400A0"/>
            </w:tcBorders>
          </w:tcPr>
          <w:p>
            <w:pPr>
              <w:spacing w:after="0"/>
              <w:rPr>
                <w:sz w:val="20"/>
                <w:szCs w:val="20"/>
                <w:color w:val="auto"/>
              </w:rPr>
            </w:pPr>
          </w:p>
        </w:tc>
        <w:tc>
          <w:tcPr>
            <w:tcW w:w="1020" w:type="dxa"/>
            <w:vAlign w:val="bottom"/>
            <w:tcBorders>
              <w:bottom w:val="single" w:sz="8" w:color="6400A0"/>
            </w:tcBorders>
          </w:tcPr>
          <w:p>
            <w:pPr>
              <w:jc w:val="center"/>
              <w:ind w:right="99"/>
              <w:spacing w:after="0"/>
              <w:rPr>
                <w:sz w:val="20"/>
                <w:szCs w:val="20"/>
                <w:color w:val="auto"/>
              </w:rPr>
            </w:pPr>
            <w:r>
              <w:rPr>
                <w:rFonts w:ascii="Arial" w:cs="Arial" w:eastAsia="Arial" w:hAnsi="Arial"/>
                <w:sz w:val="16"/>
                <w:szCs w:val="16"/>
                <w:b w:val="1"/>
                <w:bCs w:val="1"/>
                <w:color w:val="454545"/>
              </w:rPr>
              <w:t>interests</w:t>
            </w:r>
          </w:p>
        </w:tc>
        <w:tc>
          <w:tcPr>
            <w:tcW w:w="140" w:type="dxa"/>
            <w:vAlign w:val="bottom"/>
            <w:tcBorders>
              <w:bottom w:val="single" w:sz="8" w:color="6400A0"/>
            </w:tcBorders>
          </w:tcPr>
          <w:p>
            <w:pPr>
              <w:spacing w:after="0"/>
              <w:rPr>
                <w:sz w:val="20"/>
                <w:szCs w:val="20"/>
                <w:color w:val="auto"/>
              </w:rPr>
            </w:pPr>
          </w:p>
        </w:tc>
        <w:tc>
          <w:tcPr>
            <w:tcW w:w="680" w:type="dxa"/>
            <w:vAlign w:val="bottom"/>
            <w:tcBorders>
              <w:bottom w:val="single" w:sz="8" w:color="6400A0"/>
            </w:tcBorders>
          </w:tcPr>
          <w:p>
            <w:pPr>
              <w:jc w:val="center"/>
              <w:ind w:right="3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2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2024</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457</w:t>
            </w:r>
          </w:p>
        </w:tc>
        <w:tc>
          <w:tcPr>
            <w:tcW w:w="620" w:type="dxa"/>
            <w:vAlign w:val="bottom"/>
            <w:shd w:val="clear" w:color="auto" w:fill="E4E4E4"/>
          </w:tcPr>
          <w:p>
            <w:pPr>
              <w:jc w:val="right"/>
              <w:ind w:right="399"/>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E4E4E4"/>
          </w:tcPr>
          <w:p>
            <w:pPr>
              <w:jc w:val="right"/>
              <w:ind w:right="24"/>
              <w:spacing w:after="0"/>
              <w:rPr>
                <w:sz w:val="20"/>
                <w:szCs w:val="20"/>
                <w:color w:val="auto"/>
              </w:rPr>
            </w:pPr>
            <w:r>
              <w:rPr>
                <w:rFonts w:ascii="Arial" w:cs="Arial" w:eastAsia="Arial" w:hAnsi="Arial"/>
                <w:sz w:val="15"/>
                <w:szCs w:val="15"/>
                <w:b w:val="1"/>
                <w:bCs w:val="1"/>
                <w:color w:val="auto"/>
                <w:w w:val="71"/>
              </w:rPr>
              <w:t>5</w:t>
            </w:r>
          </w:p>
        </w:tc>
        <w:tc>
          <w:tcPr>
            <w:tcW w:w="1000" w:type="dxa"/>
            <w:vAlign w:val="bottom"/>
            <w:shd w:val="clear" w:color="auto" w:fill="E4E4E4"/>
          </w:tcPr>
          <w:p>
            <w:pPr>
              <w:ind w:left="480"/>
              <w:spacing w:after="0"/>
              <w:rPr>
                <w:sz w:val="20"/>
                <w:szCs w:val="20"/>
                <w:color w:val="auto"/>
              </w:rPr>
            </w:pPr>
            <w:r>
              <w:rPr>
                <w:rFonts w:ascii="Arial" w:cs="Arial" w:eastAsia="Arial" w:hAnsi="Arial"/>
                <w:sz w:val="16"/>
                <w:szCs w:val="16"/>
                <w:b w:val="1"/>
                <w:bCs w:val="1"/>
                <w:color w:val="auto"/>
              </w:rPr>
              <w:t>— $</w:t>
            </w:r>
          </w:p>
        </w:tc>
        <w:tc>
          <w:tcPr>
            <w:tcW w:w="4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6,583</w:t>
            </w: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   3,262</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(1,379)</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8,464</w:t>
            </w:r>
          </w:p>
        </w:tc>
        <w:tc>
          <w:tcPr>
            <w:tcW w:w="0" w:type="dxa"/>
            <w:vAlign w:val="bottom"/>
          </w:tcPr>
          <w:p>
            <w:pPr>
              <w:spacing w:after="0"/>
              <w:rPr>
                <w:sz w:val="1"/>
                <w:szCs w:val="1"/>
                <w:color w:val="auto"/>
              </w:rPr>
            </w:pPr>
          </w:p>
        </w:tc>
      </w:tr>
      <w:tr>
        <w:trPr>
          <w:trHeight w:val="21"/>
        </w:trPr>
        <w:tc>
          <w:tcPr>
            <w:tcW w:w="320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62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000" w:type="dxa"/>
            <w:vAlign w:val="bottom"/>
            <w:shd w:val="clear" w:color="auto" w:fill="E4E4E4"/>
          </w:tcPr>
          <w:p>
            <w:pPr>
              <w:spacing w:after="0" w:line="20" w:lineRule="exact"/>
              <w:rPr>
                <w:sz w:val="1"/>
                <w:szCs w:val="1"/>
                <w:color w:val="auto"/>
              </w:rPr>
            </w:pPr>
          </w:p>
        </w:tc>
        <w:tc>
          <w:tcPr>
            <w:tcW w:w="48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740" w:type="dxa"/>
            <w:vAlign w:val="bottom"/>
            <w:shd w:val="clear" w:color="auto" w:fill="E4E4E4"/>
          </w:tcPr>
          <w:p>
            <w:pPr>
              <w:spacing w:after="0" w:line="20" w:lineRule="exact"/>
              <w:rPr>
                <w:sz w:val="1"/>
                <w:szCs w:val="1"/>
                <w:color w:val="auto"/>
              </w:rPr>
            </w:pPr>
          </w:p>
        </w:tc>
        <w:tc>
          <w:tcPr>
            <w:tcW w:w="80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6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6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30" w:right="359" w:bottom="1440" w:gutter="0" w:footer="0" w:header="0"/>
        </w:sectPr>
      </w:pPr>
    </w:p>
    <w:p>
      <w:pPr>
        <w:ind w:left="4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Repurchase of common stock</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40" w:right="60"/>
        <w:spacing w:after="0" w:line="299" w:lineRule="auto"/>
        <w:rPr>
          <w:sz w:val="20"/>
          <w:szCs w:val="20"/>
          <w:color w:val="auto"/>
        </w:rPr>
      </w:pPr>
      <w:r>
        <w:rPr>
          <w:rFonts w:ascii="Arial" w:cs="Arial" w:eastAsia="Arial" w:hAnsi="Arial"/>
          <w:sz w:val="16"/>
          <w:szCs w:val="16"/>
          <w:color w:val="auto"/>
        </w:rPr>
        <w:t>Dividends declared ($0.035 per common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40" w:right="6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6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64"/>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900" w:type="dxa"/>
            <w:vAlign w:val="bottom"/>
          </w:tcPr>
          <w:p>
            <w:pPr>
              <w:ind w:left="220"/>
              <w:spacing w:after="0"/>
              <w:rPr>
                <w:sz w:val="20"/>
                <w:szCs w:val="20"/>
                <w:color w:val="auto"/>
              </w:rPr>
            </w:pPr>
            <w:r>
              <w:rPr>
                <w:rFonts w:ascii="Arial" w:cs="Arial" w:eastAsia="Arial" w:hAnsi="Arial"/>
                <w:sz w:val="16"/>
                <w:szCs w:val="16"/>
                <w:color w:val="auto"/>
              </w:rPr>
              <w:t>(100)</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57"/>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1,049</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1,049</w:t>
            </w:r>
          </w:p>
        </w:tc>
      </w:tr>
      <w:tr>
        <w:trPr>
          <w:trHeight w:val="351"/>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9"/>
              <w:spacing w:after="0"/>
              <w:rPr>
                <w:sz w:val="20"/>
                <w:szCs w:val="20"/>
                <w:color w:val="auto"/>
              </w:rPr>
            </w:pPr>
            <w:r>
              <w:rPr>
                <w:rFonts w:ascii="Arial" w:cs="Arial" w:eastAsia="Arial" w:hAnsi="Arial"/>
                <w:sz w:val="16"/>
                <w:szCs w:val="16"/>
                <w:color w:val="auto"/>
              </w:rPr>
              <w:t>(16)</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459"/>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288</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288</w:t>
            </w:r>
          </w:p>
        </w:tc>
      </w:tr>
      <w:tr>
        <w:trPr>
          <w:trHeight w:val="459"/>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64"/>
        </w:trPr>
        <w:tc>
          <w:tcPr>
            <w:tcW w:w="460" w:type="dxa"/>
            <w:vAlign w:val="bottom"/>
          </w:tcPr>
          <w:p>
            <w:pPr>
              <w:jc w:val="right"/>
              <w:ind w:right="199"/>
              <w:spacing w:after="0"/>
              <w:rPr>
                <w:sz w:val="20"/>
                <w:szCs w:val="20"/>
                <w:color w:val="auto"/>
              </w:rPr>
            </w:pPr>
            <w:r>
              <w:rPr>
                <w:rFonts w:ascii="Arial" w:cs="Arial" w:eastAsia="Arial" w:hAnsi="Arial"/>
                <w:sz w:val="16"/>
                <w:szCs w:val="16"/>
                <w:color w:val="auto"/>
                <w:w w:val="99"/>
              </w:rPr>
              <w:t>—</w:t>
            </w:r>
          </w:p>
        </w:tc>
        <w:tc>
          <w:tcPr>
            <w:tcW w:w="760" w:type="dxa"/>
            <w:vAlign w:val="bottom"/>
          </w:tcPr>
          <w:p>
            <w:pPr>
              <w:ind w:left="3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ind w:left="3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56</w:t>
            </w:r>
          </w:p>
        </w:tc>
        <w:tc>
          <w:tcPr>
            <w:tcW w:w="11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-2348230</wp:posOffset>
            </wp:positionH>
            <wp:positionV relativeFrom="paragraph">
              <wp:posOffset>-1343660</wp:posOffset>
            </wp:positionV>
            <wp:extent cx="711517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-1017905</wp:posOffset>
            </wp:positionV>
            <wp:extent cx="7115175"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-434975</wp:posOffset>
            </wp:positionV>
            <wp:extent cx="7115175"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3020" w:space="700"/>
            <w:col w:w="7500"/>
          </w:cols>
          <w:pgMar w:left="320" w:top="130" w:right="359" w:bottom="1440" w:gutter="0" w:footer="0" w:header="0"/>
          <w:type w:val="continuous"/>
        </w:sectPr>
      </w:pPr>
    </w:p>
    <w:tbl>
      <w:tblPr>
        <w:tblLayout w:type="fixed"/>
        <w:tblInd w:w="20" w:type="dxa"/>
        <w:tblCellMar>
          <w:top w:w="0" w:type="dxa"/>
          <w:left w:w="0" w:type="dxa"/>
          <w:bottom w:w="0" w:type="dxa"/>
          <w:right w:w="0" w:type="dxa"/>
        </w:tblCellMar>
      </w:tblPr>
      <w:tr>
        <w:trPr>
          <w:trHeight w:val="275"/>
        </w:trPr>
        <w:tc>
          <w:tcPr>
            <w:tcW w:w="326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June 30, 2025</w:t>
            </w:r>
          </w:p>
        </w:tc>
        <w:tc>
          <w:tcPr>
            <w:tcW w:w="1040" w:type="dxa"/>
            <w:vAlign w:val="bottom"/>
            <w:tcBorders>
              <w:top w:val="single" w:sz="8" w:color="auto"/>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458 $</w:t>
            </w:r>
          </w:p>
        </w:tc>
        <w:tc>
          <w:tcPr>
            <w:tcW w:w="900" w:type="dxa"/>
            <w:vAlign w:val="bottom"/>
            <w:tcBorders>
              <w:top w:val="single" w:sz="8" w:color="auto"/>
              <w:bottom w:val="single" w:sz="8" w:color="E4E4E4"/>
            </w:tcBorders>
            <w:shd w:val="clear" w:color="auto" w:fill="E4E4E4"/>
          </w:tcPr>
          <w:p>
            <w:pPr>
              <w:ind w:left="240"/>
              <w:spacing w:after="0"/>
              <w:rPr>
                <w:sz w:val="20"/>
                <w:szCs w:val="20"/>
                <w:color w:val="auto"/>
              </w:rPr>
            </w:pPr>
            <w:r>
              <w:rPr>
                <w:rFonts w:ascii="Arial" w:cs="Arial" w:eastAsia="Arial" w:hAnsi="Arial"/>
                <w:sz w:val="16"/>
                <w:szCs w:val="16"/>
                <w:b w:val="1"/>
                <w:bCs w:val="1"/>
                <w:color w:val="auto"/>
              </w:rPr>
              <w:t>5</w:t>
            </w:r>
          </w:p>
        </w:tc>
        <w:tc>
          <w:tcPr>
            <w:tcW w:w="18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(125) $</w:t>
            </w:r>
          </w:p>
        </w:tc>
        <w:tc>
          <w:tcPr>
            <w:tcW w:w="160" w:type="dxa"/>
            <w:vAlign w:val="bottom"/>
            <w:tcBorders>
              <w:top w:val="single" w:sz="8" w:color="auto"/>
              <w:bottom w:val="single" w:sz="8" w:color="E4E4E4"/>
            </w:tcBorders>
            <w:shd w:val="clear" w:color="auto" w:fill="E4E4E4"/>
          </w:tcPr>
          <w:p>
            <w:pPr>
              <w:spacing w:after="0"/>
              <w:rPr>
                <w:sz w:val="23"/>
                <w:szCs w:val="23"/>
                <w:color w:val="auto"/>
              </w:rPr>
            </w:pPr>
          </w:p>
        </w:tc>
        <w:tc>
          <w:tcPr>
            <w:tcW w:w="1420" w:type="dxa"/>
            <w:vAlign w:val="bottom"/>
            <w:tcBorders>
              <w:top w:val="single" w:sz="8" w:color="auto"/>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6,628 $   4,295 $</w:t>
            </w:r>
          </w:p>
        </w:tc>
        <w:tc>
          <w:tcPr>
            <w:tcW w:w="1140" w:type="dxa"/>
            <w:vAlign w:val="bottom"/>
            <w:tcBorders>
              <w:top w:val="single" w:sz="8" w:color="auto"/>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(1,090)</w:t>
            </w:r>
          </w:p>
        </w:tc>
        <w:tc>
          <w:tcPr>
            <w:tcW w:w="940" w:type="dxa"/>
            <w:vAlign w:val="bottom"/>
            <w:tcBorders>
              <w:top w:val="single" w:sz="8" w:color="auto"/>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260" w:type="dxa"/>
            <w:vAlign w:val="bottom"/>
            <w:tcBorders>
              <w:top w:val="single" w:sz="8" w:color="auto"/>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9,733</w:t>
            </w:r>
          </w:p>
        </w:tc>
        <w:tc>
          <w:tcPr>
            <w:tcW w:w="0" w:type="dxa"/>
            <w:vAlign w:val="bottom"/>
          </w:tcPr>
          <w:p>
            <w:pPr>
              <w:spacing w:after="0"/>
              <w:rPr>
                <w:sz w:val="1"/>
                <w:szCs w:val="1"/>
                <w:color w:val="auto"/>
              </w:rPr>
            </w:pPr>
          </w:p>
        </w:tc>
      </w:tr>
      <w:tr>
        <w:trPr>
          <w:trHeight w:val="581"/>
        </w:trPr>
        <w:tc>
          <w:tcPr>
            <w:tcW w:w="3260" w:type="dxa"/>
            <w:vAlign w:val="bottom"/>
            <w:tcBorders>
              <w:top w:val="single" w:sz="8" w:color="auto"/>
            </w:tcBorders>
          </w:tcPr>
          <w:p>
            <w:pPr>
              <w:spacing w:after="0"/>
              <w:rPr>
                <w:sz w:val="24"/>
                <w:szCs w:val="24"/>
                <w:color w:val="auto"/>
              </w:rPr>
            </w:pPr>
          </w:p>
        </w:tc>
        <w:tc>
          <w:tcPr>
            <w:tcW w:w="1940" w:type="dxa"/>
            <w:vAlign w:val="bottom"/>
            <w:tcBorders>
              <w:top w:val="single" w:sz="8" w:color="auto"/>
              <w:bottom w:val="single" w:sz="8" w:color="454545"/>
            </w:tcBorders>
            <w:gridSpan w:val="2"/>
          </w:tcPr>
          <w:p>
            <w:pPr>
              <w:jc w:val="right"/>
              <w:ind w:right="199"/>
              <w:spacing w:after="0"/>
              <w:rPr>
                <w:sz w:val="20"/>
                <w:szCs w:val="20"/>
                <w:color w:val="auto"/>
              </w:rPr>
            </w:pPr>
            <w:r>
              <w:rPr>
                <w:rFonts w:ascii="Arial" w:cs="Arial" w:eastAsia="Arial" w:hAnsi="Arial"/>
                <w:sz w:val="16"/>
                <w:szCs w:val="16"/>
                <w:b w:val="1"/>
                <w:bCs w:val="1"/>
                <w:color w:val="454545"/>
              </w:rPr>
              <w:t>Common stock</w:t>
            </w:r>
          </w:p>
        </w:tc>
        <w:tc>
          <w:tcPr>
            <w:tcW w:w="180" w:type="dxa"/>
            <w:vAlign w:val="bottom"/>
            <w:tcBorders>
              <w:top w:val="single" w:sz="8" w:color="auto"/>
              <w:bottom w:val="single" w:sz="8" w:color="454545"/>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454545"/>
              </w:rPr>
              <w:t>Accumulated</w:t>
            </w:r>
          </w:p>
        </w:tc>
        <w:tc>
          <w:tcPr>
            <w:tcW w:w="280" w:type="dxa"/>
            <w:vAlign w:val="bottom"/>
          </w:tcPr>
          <w:p>
            <w:pPr>
              <w:spacing w:after="0"/>
              <w:rPr>
                <w:sz w:val="14"/>
                <w:szCs w:val="14"/>
                <w:color w:val="auto"/>
              </w:rPr>
            </w:pPr>
          </w:p>
        </w:tc>
        <w:tc>
          <w:tcPr>
            <w:tcW w:w="94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454545"/>
              </w:rPr>
              <w:t>Equity</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center"/>
              <w:ind w:right="339"/>
              <w:spacing w:after="0" w:line="175" w:lineRule="exact"/>
              <w:rPr>
                <w:sz w:val="20"/>
                <w:szCs w:val="20"/>
                <w:color w:val="auto"/>
              </w:rPr>
            </w:pPr>
            <w:r>
              <w:rPr>
                <w:rFonts w:ascii="Arial" w:cs="Arial" w:eastAsia="Arial" w:hAnsi="Arial"/>
                <w:sz w:val="16"/>
                <w:szCs w:val="16"/>
                <w:b w:val="1"/>
                <w:bCs w:val="1"/>
                <w:color w:val="454545"/>
                <w:w w:val="99"/>
              </w:rPr>
              <w:t>other</w:t>
            </w:r>
          </w:p>
        </w:tc>
        <w:tc>
          <w:tcPr>
            <w:tcW w:w="2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454545"/>
                <w:w w:val="99"/>
              </w:rPr>
              <w:t>Additional</w:t>
            </w:r>
          </w:p>
        </w:tc>
        <w:tc>
          <w:tcPr>
            <w:tcW w:w="160" w:type="dxa"/>
            <w:vAlign w:val="bottom"/>
          </w:tcPr>
          <w:p>
            <w:pPr>
              <w:spacing w:after="0"/>
              <w:rPr>
                <w:sz w:val="16"/>
                <w:szCs w:val="16"/>
                <w:color w:val="auto"/>
              </w:rPr>
            </w:pPr>
          </w:p>
        </w:tc>
        <w:tc>
          <w:tcPr>
            <w:tcW w:w="960" w:type="dxa"/>
            <w:vAlign w:val="bottom"/>
            <w:vMerge w:val="restart"/>
          </w:tcPr>
          <w:p>
            <w:pPr>
              <w:ind w:left="80"/>
              <w:spacing w:after="0"/>
              <w:rPr>
                <w:sz w:val="20"/>
                <w:szCs w:val="20"/>
                <w:color w:val="auto"/>
              </w:rPr>
            </w:pPr>
            <w:r>
              <w:rPr>
                <w:rFonts w:ascii="Arial" w:cs="Arial" w:eastAsia="Arial" w:hAnsi="Arial"/>
                <w:sz w:val="16"/>
                <w:szCs w:val="16"/>
                <w:b w:val="1"/>
                <w:bCs w:val="1"/>
                <w:color w:val="454545"/>
              </w:rPr>
              <w:t>Retained</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comprehensive</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center"/>
              <w:ind w:right="99"/>
              <w:spacing w:after="0" w:line="175" w:lineRule="exact"/>
              <w:rPr>
                <w:sz w:val="20"/>
                <w:szCs w:val="20"/>
                <w:color w:val="auto"/>
              </w:rPr>
            </w:pPr>
            <w:r>
              <w:rPr>
                <w:rFonts w:ascii="Arial" w:cs="Arial" w:eastAsia="Arial" w:hAnsi="Arial"/>
                <w:sz w:val="16"/>
                <w:szCs w:val="16"/>
                <w:b w:val="1"/>
                <w:bCs w:val="1"/>
                <w:color w:val="454545"/>
              </w:rPr>
              <w:t>paid-in</w:t>
            </w: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32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income (loss) –</w:t>
            </w:r>
          </w:p>
        </w:tc>
        <w:tc>
          <w:tcPr>
            <w:tcW w:w="122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noncontrolling</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6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10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Shares</w:t>
            </w:r>
          </w:p>
        </w:tc>
        <w:tc>
          <w:tcPr>
            <w:tcW w:w="900" w:type="dxa"/>
            <w:vAlign w:val="bottom"/>
            <w:tcBorders>
              <w:bottom w:val="single" w:sz="8" w:color="6022A6"/>
            </w:tcBorders>
          </w:tcPr>
          <w:p>
            <w:pPr>
              <w:ind w:left="240"/>
              <w:spacing w:after="0"/>
              <w:rPr>
                <w:sz w:val="20"/>
                <w:szCs w:val="20"/>
                <w:color w:val="auto"/>
              </w:rPr>
            </w:pPr>
            <w:r>
              <w:rPr>
                <w:rFonts w:ascii="Arial" w:cs="Arial" w:eastAsia="Arial" w:hAnsi="Arial"/>
                <w:sz w:val="16"/>
                <w:szCs w:val="16"/>
                <w:b w:val="1"/>
                <w:bCs w:val="1"/>
                <w:color w:val="454545"/>
              </w:rPr>
              <w:t>Amount</w:t>
            </w:r>
          </w:p>
        </w:tc>
        <w:tc>
          <w:tcPr>
            <w:tcW w:w="180" w:type="dxa"/>
            <w:vAlign w:val="bottom"/>
            <w:tcBorders>
              <w:bottom w:val="single" w:sz="8" w:color="6022A6"/>
            </w:tcBorders>
          </w:tcPr>
          <w:p>
            <w:pPr>
              <w:spacing w:after="0"/>
              <w:rPr>
                <w:sz w:val="20"/>
                <w:szCs w:val="20"/>
                <w:color w:val="auto"/>
              </w:rPr>
            </w:pPr>
          </w:p>
        </w:tc>
        <w:tc>
          <w:tcPr>
            <w:tcW w:w="220" w:type="dxa"/>
            <w:vAlign w:val="bottom"/>
            <w:tcBorders>
              <w:bottom w:val="single" w:sz="8" w:color="6022A6"/>
            </w:tcBorders>
          </w:tcPr>
          <w:p>
            <w:pPr>
              <w:spacing w:after="0"/>
              <w:rPr>
                <w:sz w:val="20"/>
                <w:szCs w:val="20"/>
                <w:color w:val="auto"/>
              </w:rPr>
            </w:pPr>
          </w:p>
        </w:tc>
        <w:tc>
          <w:tcPr>
            <w:tcW w:w="8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8"/>
              </w:rPr>
              <w:t>capital</w:t>
            </w:r>
          </w:p>
        </w:tc>
        <w:tc>
          <w:tcPr>
            <w:tcW w:w="160" w:type="dxa"/>
            <w:vAlign w:val="bottom"/>
            <w:tcBorders>
              <w:bottom w:val="single" w:sz="8" w:color="6022A6"/>
            </w:tcBorders>
          </w:tcPr>
          <w:p>
            <w:pPr>
              <w:spacing w:after="0"/>
              <w:rPr>
                <w:sz w:val="20"/>
                <w:szCs w:val="20"/>
                <w:color w:val="auto"/>
              </w:rPr>
            </w:pPr>
          </w:p>
        </w:tc>
        <w:tc>
          <w:tcPr>
            <w:tcW w:w="960" w:type="dxa"/>
            <w:vAlign w:val="bottom"/>
            <w:tcBorders>
              <w:bottom w:val="single" w:sz="8" w:color="6022A6"/>
            </w:tcBorders>
          </w:tcPr>
          <w:p>
            <w:pPr>
              <w:ind w:left="100"/>
              <w:spacing w:after="0"/>
              <w:rPr>
                <w:sz w:val="20"/>
                <w:szCs w:val="20"/>
                <w:color w:val="auto"/>
              </w:rPr>
            </w:pPr>
            <w:r>
              <w:rPr>
                <w:rFonts w:ascii="Arial" w:cs="Arial" w:eastAsia="Arial" w:hAnsi="Arial"/>
                <w:sz w:val="16"/>
                <w:szCs w:val="16"/>
                <w:b w:val="1"/>
                <w:bCs w:val="1"/>
                <w:color w:val="454545"/>
              </w:rPr>
              <w:t>earnings</w:t>
            </w:r>
          </w:p>
        </w:tc>
        <w:tc>
          <w:tcPr>
            <w:tcW w:w="460" w:type="dxa"/>
            <w:vAlign w:val="bottom"/>
            <w:tcBorders>
              <w:bottom w:val="single" w:sz="8" w:color="6022A6"/>
            </w:tcBorders>
          </w:tcPr>
          <w:p>
            <w:pPr>
              <w:spacing w:after="0"/>
              <w:rPr>
                <w:sz w:val="20"/>
                <w:szCs w:val="20"/>
                <w:color w:val="auto"/>
              </w:rPr>
            </w:pPr>
          </w:p>
        </w:tc>
        <w:tc>
          <w:tcPr>
            <w:tcW w:w="860" w:type="dxa"/>
            <w:vAlign w:val="bottom"/>
            <w:tcBorders>
              <w:bottom w:val="single" w:sz="8" w:color="6022A6"/>
            </w:tcBorders>
          </w:tcPr>
          <w:p>
            <w:pPr>
              <w:jc w:val="center"/>
              <w:ind w:right="339"/>
              <w:spacing w:after="0"/>
              <w:rPr>
                <w:sz w:val="20"/>
                <w:szCs w:val="20"/>
                <w:color w:val="auto"/>
              </w:rPr>
            </w:pPr>
            <w:r>
              <w:rPr>
                <w:rFonts w:ascii="Arial" w:cs="Arial" w:eastAsia="Arial" w:hAnsi="Arial"/>
                <w:sz w:val="16"/>
                <w:szCs w:val="16"/>
                <w:b w:val="1"/>
                <w:bCs w:val="1"/>
                <w:color w:val="454545"/>
                <w:w w:val="99"/>
              </w:rPr>
              <w:t>net</w:t>
            </w:r>
          </w:p>
        </w:tc>
        <w:tc>
          <w:tcPr>
            <w:tcW w:w="280" w:type="dxa"/>
            <w:vAlign w:val="bottom"/>
            <w:tcBorders>
              <w:bottom w:val="single" w:sz="8" w:color="6022A6"/>
            </w:tcBorders>
          </w:tcPr>
          <w:p>
            <w:pPr>
              <w:spacing w:after="0"/>
              <w:rPr>
                <w:sz w:val="20"/>
                <w:szCs w:val="20"/>
                <w:color w:val="auto"/>
              </w:rPr>
            </w:pPr>
          </w:p>
        </w:tc>
        <w:tc>
          <w:tcPr>
            <w:tcW w:w="940" w:type="dxa"/>
            <w:vAlign w:val="bottom"/>
            <w:tcBorders>
              <w:bottom w:val="single" w:sz="8" w:color="6022A6"/>
            </w:tcBorders>
          </w:tcPr>
          <w:p>
            <w:pPr>
              <w:jc w:val="center"/>
              <w:ind w:right="159"/>
              <w:spacing w:after="0"/>
              <w:rPr>
                <w:sz w:val="20"/>
                <w:szCs w:val="20"/>
                <w:color w:val="auto"/>
              </w:rPr>
            </w:pPr>
            <w:r>
              <w:rPr>
                <w:rFonts w:ascii="Arial" w:cs="Arial" w:eastAsia="Arial" w:hAnsi="Arial"/>
                <w:sz w:val="16"/>
                <w:szCs w:val="16"/>
                <w:b w:val="1"/>
                <w:bCs w:val="1"/>
                <w:color w:val="454545"/>
                <w:w w:val="98"/>
              </w:rPr>
              <w:t>interests</w:t>
            </w:r>
          </w:p>
        </w:tc>
        <w:tc>
          <w:tcPr>
            <w:tcW w:w="1100" w:type="dxa"/>
            <w:vAlign w:val="bottom"/>
            <w:tcBorders>
              <w:bottom w:val="single" w:sz="8" w:color="6022A6"/>
            </w:tcBorders>
            <w:gridSpan w:val="3"/>
          </w:tcPr>
          <w:p>
            <w:pPr>
              <w:jc w:val="right"/>
              <w:spacing w:after="0"/>
              <w:rPr>
                <w:sz w:val="20"/>
                <w:szCs w:val="20"/>
                <w:color w:val="auto"/>
              </w:rPr>
            </w:pPr>
            <w:r>
              <w:rPr>
                <w:rFonts w:ascii="Arial" w:cs="Arial" w:eastAsia="Arial" w:hAnsi="Arial"/>
                <w:sz w:val="16"/>
                <w:szCs w:val="16"/>
                <w:b w:val="1"/>
                <w:bCs w:val="1"/>
                <w:color w:val="454545"/>
              </w:rPr>
              <w:t>Total equity</w:t>
            </w:r>
          </w:p>
        </w:tc>
        <w:tc>
          <w:tcPr>
            <w:tcW w:w="0" w:type="dxa"/>
            <w:vAlign w:val="bottom"/>
          </w:tcPr>
          <w:p>
            <w:pPr>
              <w:spacing w:after="0"/>
              <w:rPr>
                <w:sz w:val="1"/>
                <w:szCs w:val="1"/>
                <w:color w:val="auto"/>
              </w:rPr>
            </w:pPr>
          </w:p>
        </w:tc>
      </w:tr>
      <w:tr>
        <w:trPr>
          <w:trHeight w:val="233"/>
        </w:trPr>
        <w:tc>
          <w:tcPr>
            <w:tcW w:w="32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2023</w:t>
            </w:r>
          </w:p>
        </w:tc>
        <w:tc>
          <w:tcPr>
            <w:tcW w:w="10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455</w:t>
            </w:r>
          </w:p>
        </w:tc>
        <w:tc>
          <w:tcPr>
            <w:tcW w:w="900" w:type="dxa"/>
            <w:vAlign w:val="bottom"/>
            <w:shd w:val="clear" w:color="auto" w:fill="E4E4E4"/>
          </w:tcPr>
          <w:p>
            <w:pPr>
              <w:jc w:val="right"/>
              <w:ind w:right="699"/>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220" w:type="dxa"/>
            <w:vAlign w:val="bottom"/>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6,493</w:t>
            </w:r>
          </w:p>
        </w:tc>
        <w:tc>
          <w:tcPr>
            <w:tcW w:w="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1,326</w:t>
            </w:r>
          </w:p>
        </w:tc>
        <w:tc>
          <w:tcPr>
            <w:tcW w:w="460" w:type="dxa"/>
            <w:vAlign w:val="bottom"/>
            <w:shd w:val="clear" w:color="auto" w:fill="E4E4E4"/>
          </w:tcPr>
          <w:p>
            <w:pPr>
              <w:jc w:val="right"/>
              <w:ind w:right="23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(691)</w:t>
            </w:r>
          </w:p>
        </w:tc>
        <w:tc>
          <w:tcPr>
            <w:tcW w:w="280" w:type="dxa"/>
            <w:vAlign w:val="bottom"/>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c>
          <w:tcPr>
            <w:tcW w:w="260" w:type="dxa"/>
            <w:vAlign w:val="bottom"/>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E4E4E4"/>
          </w:tcPr>
          <w:p>
            <w:pPr>
              <w:spacing w:after="0"/>
              <w:rPr>
                <w:sz w:val="20"/>
                <w:szCs w:val="20"/>
                <w:color w:val="auto"/>
              </w:rPr>
            </w:pPr>
          </w:p>
        </w:tc>
        <w:tc>
          <w:tcPr>
            <w:tcW w:w="5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7,145</w:t>
            </w:r>
          </w:p>
        </w:tc>
        <w:tc>
          <w:tcPr>
            <w:tcW w:w="0" w:type="dxa"/>
            <w:vAlign w:val="bottom"/>
          </w:tcPr>
          <w:p>
            <w:pPr>
              <w:spacing w:after="0"/>
              <w:rPr>
                <w:sz w:val="1"/>
                <w:szCs w:val="1"/>
                <w:color w:val="auto"/>
              </w:rPr>
            </w:pPr>
          </w:p>
        </w:tc>
      </w:tr>
      <w:tr>
        <w:trPr>
          <w:trHeight w:val="21"/>
        </w:trPr>
        <w:tc>
          <w:tcPr>
            <w:tcW w:w="3260" w:type="dxa"/>
            <w:vAlign w:val="bottom"/>
            <w:shd w:val="clear" w:color="auto" w:fill="E4E4E4"/>
          </w:tcPr>
          <w:p>
            <w:pPr>
              <w:spacing w:after="0" w:line="20" w:lineRule="exact"/>
              <w:rPr>
                <w:sz w:val="1"/>
                <w:szCs w:val="1"/>
                <w:color w:val="auto"/>
              </w:rPr>
            </w:pPr>
          </w:p>
        </w:tc>
        <w:tc>
          <w:tcPr>
            <w:tcW w:w="1040" w:type="dxa"/>
            <w:vAlign w:val="bottom"/>
            <w:shd w:val="clear" w:color="auto" w:fill="E4E4E4"/>
          </w:tcPr>
          <w:p>
            <w:pPr>
              <w:spacing w:after="0" w:line="20" w:lineRule="exact"/>
              <w:rPr>
                <w:sz w:val="1"/>
                <w:szCs w:val="1"/>
                <w:color w:val="auto"/>
              </w:rPr>
            </w:pPr>
          </w:p>
        </w:tc>
        <w:tc>
          <w:tcPr>
            <w:tcW w:w="90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220" w:type="dxa"/>
            <w:vAlign w:val="bottom"/>
            <w:shd w:val="clear" w:color="auto" w:fill="E4E4E4"/>
          </w:tcPr>
          <w:p>
            <w:pPr>
              <w:spacing w:after="0" w:line="20" w:lineRule="exact"/>
              <w:rPr>
                <w:sz w:val="1"/>
                <w:szCs w:val="1"/>
                <w:color w:val="auto"/>
              </w:rPr>
            </w:pPr>
          </w:p>
        </w:tc>
        <w:tc>
          <w:tcPr>
            <w:tcW w:w="840" w:type="dxa"/>
            <w:vAlign w:val="bottom"/>
            <w:shd w:val="clear" w:color="auto" w:fill="E4E4E4"/>
          </w:tcPr>
          <w:p>
            <w:pPr>
              <w:spacing w:after="0" w:line="20" w:lineRule="exact"/>
              <w:rPr>
                <w:sz w:val="1"/>
                <w:szCs w:val="1"/>
                <w:color w:val="auto"/>
              </w:rPr>
            </w:pPr>
          </w:p>
        </w:tc>
        <w:tc>
          <w:tcPr>
            <w:tcW w:w="160" w:type="dxa"/>
            <w:vAlign w:val="bottom"/>
            <w:shd w:val="clear" w:color="auto" w:fill="E4E4E4"/>
          </w:tcPr>
          <w:p>
            <w:pPr>
              <w:spacing w:after="0" w:line="20" w:lineRule="exact"/>
              <w:rPr>
                <w:sz w:val="1"/>
                <w:szCs w:val="1"/>
                <w:color w:val="auto"/>
              </w:rPr>
            </w:pPr>
          </w:p>
        </w:tc>
        <w:tc>
          <w:tcPr>
            <w:tcW w:w="960" w:type="dxa"/>
            <w:vAlign w:val="bottom"/>
            <w:shd w:val="clear" w:color="auto" w:fill="E4E4E4"/>
          </w:tcPr>
          <w:p>
            <w:pPr>
              <w:spacing w:after="0" w:line="20" w:lineRule="exact"/>
              <w:rPr>
                <w:sz w:val="1"/>
                <w:szCs w:val="1"/>
                <w:color w:val="auto"/>
              </w:rPr>
            </w:pPr>
          </w:p>
        </w:tc>
        <w:tc>
          <w:tcPr>
            <w:tcW w:w="460" w:type="dxa"/>
            <w:vAlign w:val="bottom"/>
            <w:shd w:val="clear" w:color="auto" w:fill="E4E4E4"/>
          </w:tcPr>
          <w:p>
            <w:pPr>
              <w:spacing w:after="0" w:line="20" w:lineRule="exact"/>
              <w:rPr>
                <w:sz w:val="1"/>
                <w:szCs w:val="1"/>
                <w:color w:val="auto"/>
              </w:rPr>
            </w:pPr>
          </w:p>
        </w:tc>
        <w:tc>
          <w:tcPr>
            <w:tcW w:w="860" w:type="dxa"/>
            <w:vAlign w:val="bottom"/>
            <w:shd w:val="clear" w:color="auto" w:fill="E4E4E4"/>
          </w:tcPr>
          <w:p>
            <w:pPr>
              <w:spacing w:after="0" w:line="20" w:lineRule="exact"/>
              <w:rPr>
                <w:sz w:val="1"/>
                <w:szCs w:val="1"/>
                <w:color w:val="auto"/>
              </w:rPr>
            </w:pPr>
          </w:p>
        </w:tc>
        <w:tc>
          <w:tcPr>
            <w:tcW w:w="280" w:type="dxa"/>
            <w:vAlign w:val="bottom"/>
            <w:shd w:val="clear" w:color="auto" w:fill="E4E4E4"/>
          </w:tcPr>
          <w:p>
            <w:pPr>
              <w:spacing w:after="0" w:line="20" w:lineRule="exact"/>
              <w:rPr>
                <w:sz w:val="1"/>
                <w:szCs w:val="1"/>
                <w:color w:val="auto"/>
              </w:rPr>
            </w:pPr>
          </w:p>
        </w:tc>
        <w:tc>
          <w:tcPr>
            <w:tcW w:w="940" w:type="dxa"/>
            <w:vAlign w:val="bottom"/>
            <w:shd w:val="clear" w:color="auto" w:fill="E4E4E4"/>
          </w:tcPr>
          <w:p>
            <w:pPr>
              <w:spacing w:after="0" w:line="20" w:lineRule="exact"/>
              <w:rPr>
                <w:sz w:val="1"/>
                <w:szCs w:val="1"/>
                <w:color w:val="auto"/>
              </w:rPr>
            </w:pPr>
          </w:p>
        </w:tc>
        <w:tc>
          <w:tcPr>
            <w:tcW w:w="260" w:type="dxa"/>
            <w:vAlign w:val="bottom"/>
            <w:shd w:val="clear" w:color="auto" w:fill="E4E4E4"/>
          </w:tcPr>
          <w:p>
            <w:pPr>
              <w:spacing w:after="0" w:line="20" w:lineRule="exact"/>
              <w:rPr>
                <w:sz w:val="1"/>
                <w:szCs w:val="1"/>
                <w:color w:val="auto"/>
              </w:rPr>
            </w:pPr>
          </w:p>
        </w:tc>
        <w:tc>
          <w:tcPr>
            <w:tcW w:w="260" w:type="dxa"/>
            <w:vAlign w:val="bottom"/>
            <w:shd w:val="clear" w:color="auto" w:fill="E4E4E4"/>
          </w:tcPr>
          <w:p>
            <w:pPr>
              <w:spacing w:after="0" w:line="20" w:lineRule="exact"/>
              <w:rPr>
                <w:sz w:val="1"/>
                <w:szCs w:val="1"/>
                <w:color w:val="auto"/>
              </w:rPr>
            </w:pPr>
          </w:p>
        </w:tc>
        <w:tc>
          <w:tcPr>
            <w:tcW w:w="58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30" w:right="359" w:bottom="1440" w:gutter="0" w:footer="0" w:header="0"/>
          <w:type w:val="continuous"/>
        </w:sectPr>
      </w:pPr>
    </w:p>
    <w:p>
      <w:pPr>
        <w:ind w:left="40" w:right="16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40" w:right="520"/>
        <w:spacing w:after="0" w:line="299" w:lineRule="auto"/>
        <w:rPr>
          <w:sz w:val="20"/>
          <w:szCs w:val="20"/>
          <w:color w:val="auto"/>
        </w:rPr>
      </w:pPr>
      <w:r>
        <w:rPr>
          <w:rFonts w:ascii="Arial" w:cs="Arial" w:eastAsia="Arial" w:hAnsi="Arial"/>
          <w:sz w:val="16"/>
          <w:szCs w:val="16"/>
          <w:color w:val="auto"/>
        </w:rPr>
        <w:t>Dividends declared ($0.06 per common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40" w:right="102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20" w:type="dxa"/>
            <w:vAlign w:val="bottom"/>
          </w:tcPr>
          <w:p>
            <w:pPr>
              <w:jc w:val="right"/>
              <w:ind w:right="379"/>
              <w:spacing w:after="0"/>
              <w:rPr>
                <w:sz w:val="20"/>
                <w:szCs w:val="20"/>
                <w:color w:val="auto"/>
              </w:rPr>
            </w:pPr>
            <w:r>
              <w:rPr>
                <w:rFonts w:ascii="Arial" w:cs="Arial" w:eastAsia="Arial" w:hAnsi="Arial"/>
                <w:sz w:val="16"/>
                <w:szCs w:val="16"/>
                <w:color w:val="auto"/>
              </w:rPr>
              <w:t>1</w:t>
            </w:r>
          </w:p>
        </w:tc>
        <w:tc>
          <w:tcPr>
            <w:tcW w:w="1040" w:type="dxa"/>
            <w:vAlign w:val="bottom"/>
          </w:tcPr>
          <w:p>
            <w:pPr>
              <w:ind w:left="4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(24)</w:t>
            </w: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60" w:type="dxa"/>
            <w:vAlign w:val="bottom"/>
          </w:tcPr>
          <w:p>
            <w:pPr>
              <w:ind w:left="6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65"/>
        </w:trPr>
        <w:tc>
          <w:tcPr>
            <w:tcW w:w="620" w:type="dxa"/>
            <w:vAlign w:val="bottom"/>
          </w:tcPr>
          <w:p>
            <w:pPr>
              <w:jc w:val="right"/>
              <w:ind w:right="379"/>
              <w:spacing w:after="0"/>
              <w:rPr>
                <w:sz w:val="20"/>
                <w:szCs w:val="20"/>
                <w:color w:val="auto"/>
              </w:rPr>
            </w:pPr>
            <w:r>
              <w:rPr>
                <w:rFonts w:ascii="Arial" w:cs="Arial" w:eastAsia="Arial" w:hAnsi="Arial"/>
                <w:sz w:val="16"/>
                <w:szCs w:val="16"/>
                <w:color w:val="auto"/>
                <w:w w:val="87"/>
              </w:rPr>
              <w:t>—</w:t>
            </w:r>
          </w:p>
        </w:tc>
        <w:tc>
          <w:tcPr>
            <w:tcW w:w="1040" w:type="dxa"/>
            <w:vAlign w:val="bottom"/>
          </w:tcPr>
          <w:p>
            <w:pPr>
              <w:ind w:left="4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802</w:t>
            </w:r>
          </w:p>
        </w:tc>
        <w:tc>
          <w:tcPr>
            <w:tcW w:w="1360" w:type="dxa"/>
            <w:vAlign w:val="bottom"/>
          </w:tcPr>
          <w:p>
            <w:pPr>
              <w:ind w:left="6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802</w:t>
            </w:r>
          </w:p>
        </w:tc>
      </w:tr>
      <w:tr>
        <w:trPr>
          <w:trHeight w:val="351"/>
        </w:trPr>
        <w:tc>
          <w:tcPr>
            <w:tcW w:w="620" w:type="dxa"/>
            <w:vAlign w:val="bottom"/>
          </w:tcPr>
          <w:p>
            <w:pPr>
              <w:jc w:val="right"/>
              <w:ind w:right="379"/>
              <w:spacing w:after="0"/>
              <w:rPr>
                <w:sz w:val="20"/>
                <w:szCs w:val="20"/>
                <w:color w:val="auto"/>
              </w:rPr>
            </w:pPr>
            <w:r>
              <w:rPr>
                <w:rFonts w:ascii="Arial" w:cs="Arial" w:eastAsia="Arial" w:hAnsi="Arial"/>
                <w:sz w:val="16"/>
                <w:szCs w:val="16"/>
                <w:color w:val="auto"/>
                <w:w w:val="87"/>
              </w:rPr>
              <w:t>—</w:t>
            </w:r>
          </w:p>
        </w:tc>
        <w:tc>
          <w:tcPr>
            <w:tcW w:w="1040" w:type="dxa"/>
            <w:vAlign w:val="bottom"/>
          </w:tcPr>
          <w:p>
            <w:pPr>
              <w:ind w:left="4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(28)</w:t>
            </w:r>
          </w:p>
        </w:tc>
        <w:tc>
          <w:tcPr>
            <w:tcW w:w="1360" w:type="dxa"/>
            <w:vAlign w:val="bottom"/>
          </w:tcPr>
          <w:p>
            <w:pPr>
              <w:ind w:left="6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459"/>
        </w:trPr>
        <w:tc>
          <w:tcPr>
            <w:tcW w:w="620" w:type="dxa"/>
            <w:vAlign w:val="bottom"/>
          </w:tcPr>
          <w:p>
            <w:pPr>
              <w:jc w:val="right"/>
              <w:ind w:right="379"/>
              <w:spacing w:after="0"/>
              <w:rPr>
                <w:sz w:val="20"/>
                <w:szCs w:val="20"/>
                <w:color w:val="auto"/>
              </w:rPr>
            </w:pPr>
            <w:r>
              <w:rPr>
                <w:rFonts w:ascii="Arial" w:cs="Arial" w:eastAsia="Arial" w:hAnsi="Arial"/>
                <w:sz w:val="16"/>
                <w:szCs w:val="16"/>
                <w:color w:val="auto"/>
                <w:w w:val="87"/>
              </w:rPr>
              <w:t>—</w:t>
            </w:r>
          </w:p>
        </w:tc>
        <w:tc>
          <w:tcPr>
            <w:tcW w:w="1040" w:type="dxa"/>
            <w:vAlign w:val="bottom"/>
          </w:tcPr>
          <w:p>
            <w:pPr>
              <w:ind w:left="4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60" w:type="dxa"/>
            <w:vAlign w:val="bottom"/>
          </w:tcPr>
          <w:p>
            <w:pPr>
              <w:ind w:left="460"/>
              <w:spacing w:after="0"/>
              <w:rPr>
                <w:sz w:val="20"/>
                <w:szCs w:val="20"/>
                <w:color w:val="auto"/>
              </w:rPr>
            </w:pPr>
            <w:r>
              <w:rPr>
                <w:rFonts w:ascii="Arial" w:cs="Arial" w:eastAsia="Arial" w:hAnsi="Arial"/>
                <w:sz w:val="16"/>
                <w:szCs w:val="16"/>
                <w:color w:val="auto"/>
              </w:rPr>
              <w:t>(154)</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459"/>
        </w:trPr>
        <w:tc>
          <w:tcPr>
            <w:tcW w:w="620" w:type="dxa"/>
            <w:vAlign w:val="bottom"/>
          </w:tcPr>
          <w:p>
            <w:pPr>
              <w:jc w:val="right"/>
              <w:ind w:right="379"/>
              <w:spacing w:after="0"/>
              <w:rPr>
                <w:sz w:val="20"/>
                <w:szCs w:val="20"/>
                <w:color w:val="auto"/>
              </w:rPr>
            </w:pPr>
            <w:r>
              <w:rPr>
                <w:rFonts w:ascii="Arial" w:cs="Arial" w:eastAsia="Arial" w:hAnsi="Arial"/>
                <w:sz w:val="16"/>
                <w:szCs w:val="16"/>
                <w:color w:val="auto"/>
                <w:w w:val="87"/>
              </w:rPr>
              <w:t>—</w:t>
            </w:r>
          </w:p>
        </w:tc>
        <w:tc>
          <w:tcPr>
            <w:tcW w:w="1040" w:type="dxa"/>
            <w:vAlign w:val="bottom"/>
          </w:tcPr>
          <w:p>
            <w:pPr>
              <w:ind w:left="4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60" w:type="dxa"/>
            <w:vAlign w:val="bottom"/>
          </w:tcPr>
          <w:p>
            <w:pPr>
              <w:ind w:left="6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4</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64"/>
        </w:trPr>
        <w:tc>
          <w:tcPr>
            <w:tcW w:w="620" w:type="dxa"/>
            <w:vAlign w:val="bottom"/>
          </w:tcPr>
          <w:p>
            <w:pPr>
              <w:jc w:val="right"/>
              <w:ind w:right="379"/>
              <w:spacing w:after="0"/>
              <w:rPr>
                <w:sz w:val="20"/>
                <w:szCs w:val="20"/>
                <w:color w:val="auto"/>
              </w:rPr>
            </w:pPr>
            <w:r>
              <w:rPr>
                <w:rFonts w:ascii="Arial" w:cs="Arial" w:eastAsia="Arial" w:hAnsi="Arial"/>
                <w:sz w:val="16"/>
                <w:szCs w:val="16"/>
                <w:color w:val="auto"/>
                <w:w w:val="87"/>
              </w:rPr>
              <w:t>—</w:t>
            </w:r>
          </w:p>
        </w:tc>
        <w:tc>
          <w:tcPr>
            <w:tcW w:w="1040" w:type="dxa"/>
            <w:vAlign w:val="bottom"/>
          </w:tcPr>
          <w:p>
            <w:pPr>
              <w:ind w:left="4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59"/>
              <w:spacing w:after="0"/>
              <w:rPr>
                <w:sz w:val="20"/>
                <w:szCs w:val="20"/>
                <w:color w:val="auto"/>
              </w:rPr>
            </w:pPr>
            <w:r>
              <w:rPr>
                <w:rFonts w:ascii="Arial" w:cs="Arial" w:eastAsia="Arial" w:hAnsi="Arial"/>
                <w:sz w:val="16"/>
                <w:szCs w:val="16"/>
                <w:color w:val="auto"/>
              </w:rPr>
              <w:t>70</w:t>
            </w: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60" w:type="dxa"/>
            <w:vAlign w:val="bottom"/>
          </w:tcPr>
          <w:p>
            <w:pPr>
              <w:ind w:left="6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-1181100</wp:posOffset>
            </wp:positionV>
            <wp:extent cx="711517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-2589530</wp:posOffset>
            </wp:positionH>
            <wp:positionV relativeFrom="paragraph">
              <wp:posOffset>-726440</wp:posOffset>
            </wp:positionV>
            <wp:extent cx="7115175"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-2589530</wp:posOffset>
            </wp:positionH>
            <wp:positionV relativeFrom="paragraph">
              <wp:posOffset>-144145</wp:posOffset>
            </wp:positionV>
            <wp:extent cx="71151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380" w:space="720"/>
            <w:col w:w="7120"/>
          </w:cols>
          <w:pgMar w:left="320" w:top="130" w:right="359" w:bottom="1440" w:gutter="0" w:footer="0" w:header="0"/>
          <w:type w:val="continuous"/>
        </w:sectPr>
      </w:pPr>
    </w:p>
    <w:p>
      <w:pPr>
        <w:ind w:left="40"/>
        <w:spacing w:after="0"/>
        <w:tabs>
          <w:tab w:leader="none" w:pos="3980" w:val="left"/>
          <w:tab w:leader="none" w:pos="5220" w:val="left"/>
          <w:tab w:leader="none" w:pos="6000" w:val="left"/>
          <w:tab w:leader="none" w:pos="7120" w:val="left"/>
          <w:tab w:leader="none" w:pos="8480" w:val="left"/>
          <w:tab w:leader="none" w:pos="9880" w:val="left"/>
          <w:tab w:leader="none" w:pos="10720" w:val="left"/>
        </w:tabs>
        <w:rPr>
          <w:sz w:val="20"/>
          <w:szCs w:val="20"/>
          <w:color w:val="auto"/>
        </w:rPr>
      </w:pPr>
      <w:r>
        <w:rPr>
          <w:rFonts w:ascii="Arial" w:cs="Arial" w:eastAsia="Arial" w:hAnsi="Arial"/>
          <w:sz w:val="16"/>
          <w:szCs w:val="16"/>
          <w:b w:val="1"/>
          <w:bCs w:val="1"/>
          <w:color w:val="auto"/>
        </w:rPr>
        <w:t>Balances as of June 30, 2024</w:t>
      </w:r>
      <w:r>
        <w:rPr>
          <w:sz w:val="20"/>
          <w:szCs w:val="20"/>
          <w:color w:val="auto"/>
        </w:rPr>
        <w:tab/>
      </w:r>
      <w:r>
        <w:rPr>
          <w:rFonts w:ascii="Arial" w:cs="Arial" w:eastAsia="Arial" w:hAnsi="Arial"/>
          <w:sz w:val="16"/>
          <w:szCs w:val="16"/>
          <w:b w:val="1"/>
          <w:bCs w:val="1"/>
          <w:color w:val="auto"/>
        </w:rPr>
        <w:t>457 $</w:t>
      </w:r>
      <w:r>
        <w:rPr>
          <w:sz w:val="20"/>
          <w:szCs w:val="20"/>
          <w:color w:val="auto"/>
        </w:rPr>
        <w:tab/>
      </w:r>
      <w:r>
        <w:rPr>
          <w:rFonts w:ascii="Arial" w:cs="Arial" w:eastAsia="Arial" w:hAnsi="Arial"/>
          <w:sz w:val="16"/>
          <w:szCs w:val="16"/>
          <w:b w:val="1"/>
          <w:bCs w:val="1"/>
          <w:color w:val="auto"/>
        </w:rPr>
        <w:t>5 $</w:t>
      </w:r>
      <w:r>
        <w:rPr>
          <w:sz w:val="20"/>
          <w:szCs w:val="20"/>
          <w:color w:val="auto"/>
        </w:rPr>
        <w:tab/>
      </w:r>
      <w:r>
        <w:rPr>
          <w:rFonts w:ascii="Arial" w:cs="Arial" w:eastAsia="Arial" w:hAnsi="Arial"/>
          <w:sz w:val="16"/>
          <w:szCs w:val="16"/>
          <w:b w:val="1"/>
          <w:bCs w:val="1"/>
          <w:color w:val="auto"/>
        </w:rPr>
        <w:t>6,540 $</w:t>
      </w:r>
      <w:r>
        <w:rPr>
          <w:sz w:val="20"/>
          <w:szCs w:val="20"/>
          <w:color w:val="auto"/>
        </w:rPr>
        <w:tab/>
      </w:r>
      <w:r>
        <w:rPr>
          <w:rFonts w:ascii="Arial" w:cs="Arial" w:eastAsia="Arial" w:hAnsi="Arial"/>
          <w:sz w:val="16"/>
          <w:szCs w:val="16"/>
          <w:b w:val="1"/>
          <w:bCs w:val="1"/>
          <w:color w:val="auto"/>
        </w:rPr>
        <w:t>2,101 $</w:t>
      </w:r>
      <w:r>
        <w:rPr>
          <w:sz w:val="20"/>
          <w:szCs w:val="20"/>
          <w:color w:val="auto"/>
        </w:rPr>
        <w:tab/>
      </w:r>
      <w:r>
        <w:rPr>
          <w:rFonts w:ascii="Arial" w:cs="Arial" w:eastAsia="Arial" w:hAnsi="Arial"/>
          <w:sz w:val="16"/>
          <w:szCs w:val="16"/>
          <w:b w:val="1"/>
          <w:bCs w:val="1"/>
          <w:color w:val="auto"/>
        </w:rPr>
        <w:t>(845) $</w:t>
      </w:r>
      <w:r>
        <w:rPr>
          <w:sz w:val="20"/>
          <w:szCs w:val="20"/>
          <w:color w:val="auto"/>
        </w:rPr>
        <w:tab/>
      </w:r>
      <w:r>
        <w:rPr>
          <w:rFonts w:ascii="Arial" w:cs="Arial" w:eastAsia="Arial" w:hAnsi="Arial"/>
          <w:sz w:val="16"/>
          <w:szCs w:val="16"/>
          <w:b w:val="1"/>
          <w:bCs w:val="1"/>
          <w:color w:val="auto"/>
        </w:rPr>
        <w:t>16 $</w:t>
      </w:r>
      <w:r>
        <w:rPr>
          <w:sz w:val="20"/>
          <w:szCs w:val="20"/>
          <w:color w:val="auto"/>
        </w:rPr>
        <w:tab/>
      </w:r>
      <w:r>
        <w:rPr>
          <w:rFonts w:ascii="Arial" w:cs="Arial" w:eastAsia="Arial" w:hAnsi="Arial"/>
          <w:sz w:val="16"/>
          <w:szCs w:val="16"/>
          <w:b w:val="1"/>
          <w:bCs w:val="1"/>
          <w:color w:val="auto"/>
        </w:rPr>
        <w:t>7,817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151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Cash Flows (Unaudited)</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454545"/>
              </w:rPr>
              <w:t>For the six months ended June 30</w:t>
            </w:r>
          </w:p>
        </w:tc>
        <w:tc>
          <w:tcPr>
            <w:tcW w:w="0" w:type="dxa"/>
            <w:vAlign w:val="bottom"/>
          </w:tcPr>
          <w:p>
            <w:pPr>
              <w:spacing w:after="0"/>
              <w:rPr>
                <w:sz w:val="1"/>
                <w:szCs w:val="1"/>
                <w:color w:val="auto"/>
              </w:rPr>
            </w:pPr>
          </w:p>
        </w:tc>
      </w:tr>
      <w:tr>
        <w:trPr>
          <w:trHeight w:val="21"/>
        </w:trPr>
        <w:tc>
          <w:tcPr>
            <w:tcW w:w="80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20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8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2025</w:t>
            </w:r>
          </w:p>
        </w:tc>
        <w:tc>
          <w:tcPr>
            <w:tcW w:w="36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2024</w:t>
            </w:r>
          </w:p>
        </w:tc>
        <w:tc>
          <w:tcPr>
            <w:tcW w:w="0" w:type="dxa"/>
            <w:vAlign w:val="bottom"/>
          </w:tcPr>
          <w:p>
            <w:pPr>
              <w:spacing w:after="0"/>
              <w:rPr>
                <w:sz w:val="1"/>
                <w:szCs w:val="1"/>
                <w:color w:val="auto"/>
              </w:rPr>
            </w:pPr>
          </w:p>
        </w:tc>
      </w:tr>
      <w:tr>
        <w:trPr>
          <w:trHeight w:val="21"/>
        </w:trPr>
        <w:tc>
          <w:tcPr>
            <w:tcW w:w="804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1,088</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823</w:t>
            </w:r>
          </w:p>
        </w:tc>
        <w:tc>
          <w:tcPr>
            <w:tcW w:w="0" w:type="dxa"/>
            <w:vAlign w:val="bottom"/>
          </w:tcPr>
          <w:p>
            <w:pPr>
              <w:spacing w:after="0"/>
              <w:rPr>
                <w:sz w:val="1"/>
                <w:szCs w:val="1"/>
                <w:color w:val="auto"/>
              </w:rPr>
            </w:pPr>
          </w:p>
        </w:tc>
      </w:tr>
      <w:tr>
        <w:trPr>
          <w:trHeight w:val="227"/>
        </w:trPr>
        <w:tc>
          <w:tcPr>
            <w:tcW w:w="8040" w:type="dxa"/>
            <w:vAlign w:val="bottom"/>
          </w:tcPr>
          <w:p>
            <w:pPr>
              <w:ind w:left="20"/>
              <w:spacing w:after="0"/>
              <w:rPr>
                <w:sz w:val="20"/>
                <w:szCs w:val="20"/>
                <w:color w:val="auto"/>
              </w:rPr>
            </w:pPr>
            <w:r>
              <w:rPr>
                <w:rFonts w:ascii="Arial" w:cs="Arial" w:eastAsia="Arial" w:hAnsi="Arial"/>
                <w:sz w:val="16"/>
                <w:szCs w:val="16"/>
                <w:color w:val="auto"/>
              </w:rPr>
              <w:t>Adjustments to reconcile Net income to Cash from (used for) operating activities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Depreciation of property, plant, and equipment</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138</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28"/>
        </w:trPr>
        <w:tc>
          <w:tcPr>
            <w:tcW w:w="8040" w:type="dxa"/>
            <w:vAlign w:val="bottom"/>
          </w:tcPr>
          <w:p>
            <w:pPr>
              <w:ind w:left="12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146</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Gain on remeasurement of Nihon Medi-Physics equity method investment</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8040" w:type="dxa"/>
            <w:vAlign w:val="bottom"/>
          </w:tcPr>
          <w:p>
            <w:pPr>
              <w:ind w:left="120"/>
              <w:spacing w:after="0"/>
              <w:rPr>
                <w:sz w:val="20"/>
                <w:szCs w:val="20"/>
                <w:color w:val="auto"/>
              </w:rPr>
            </w:pPr>
            <w:r>
              <w:rPr>
                <w:rFonts w:ascii="Arial" w:cs="Arial" w:eastAsia="Arial" w:hAnsi="Arial"/>
                <w:sz w:val="16"/>
                <w:szCs w:val="16"/>
                <w:color w:val="auto"/>
              </w:rPr>
              <w:t>Net periodic postretirement benefit plan (income) expense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(138)</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Postretirement plan contributions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(182)</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28"/>
        </w:trPr>
        <w:tc>
          <w:tcPr>
            <w:tcW w:w="804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216</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28"/>
        </w:trPr>
        <w:tc>
          <w:tcPr>
            <w:tcW w:w="8040" w:type="dxa"/>
            <w:vAlign w:val="bottom"/>
          </w:tcPr>
          <w:p>
            <w:pPr>
              <w:ind w:left="120"/>
              <w:spacing w:after="0"/>
              <w:rPr>
                <w:sz w:val="20"/>
                <w:szCs w:val="20"/>
                <w:color w:val="auto"/>
              </w:rPr>
            </w:pPr>
            <w:r>
              <w:rPr>
                <w:rFonts w:ascii="Arial" w:cs="Arial" w:eastAsia="Arial" w:hAnsi="Arial"/>
                <w:sz w:val="16"/>
                <w:szCs w:val="16"/>
                <w:color w:val="auto"/>
              </w:rPr>
              <w:t>Cash paid during the year for income taxes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(270)</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Changes in operating assets and liabilities, excluding the effects of acquisitions: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040" w:type="dxa"/>
            <w:vAlign w:val="bottom"/>
          </w:tcPr>
          <w:p>
            <w:pPr>
              <w:ind w:left="240"/>
              <w:spacing w:after="0"/>
              <w:rPr>
                <w:sz w:val="20"/>
                <w:szCs w:val="20"/>
                <w:color w:val="auto"/>
              </w:rPr>
            </w:pPr>
            <w:r>
              <w:rPr>
                <w:rFonts w:ascii="Arial" w:cs="Arial" w:eastAsia="Arial" w:hAnsi="Arial"/>
                <w:sz w:val="16"/>
                <w:szCs w:val="16"/>
                <w:color w:val="auto"/>
              </w:rPr>
              <w:t>Receivables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185</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(188)</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28"/>
        </w:trPr>
        <w:tc>
          <w:tcPr>
            <w:tcW w:w="8040" w:type="dxa"/>
            <w:vAlign w:val="bottom"/>
          </w:tcPr>
          <w:p>
            <w:pPr>
              <w:ind w:left="240"/>
              <w:spacing w:after="0"/>
              <w:rPr>
                <w:sz w:val="20"/>
                <w:szCs w:val="20"/>
                <w:color w:val="auto"/>
              </w:rPr>
            </w:pPr>
            <w:r>
              <w:rPr>
                <w:rFonts w:ascii="Arial" w:cs="Arial" w:eastAsia="Arial" w:hAnsi="Arial"/>
                <w:sz w:val="16"/>
                <w:szCs w:val="16"/>
                <w:color w:val="auto"/>
              </w:rPr>
              <w:t>Contract and other deferred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27"/>
        </w:trPr>
        <w:tc>
          <w:tcPr>
            <w:tcW w:w="8040" w:type="dxa"/>
            <w:vAlign w:val="bottom"/>
          </w:tcPr>
          <w:p>
            <w:pPr>
              <w:ind w:left="240"/>
              <w:spacing w:after="0"/>
              <w:rPr>
                <w:sz w:val="20"/>
                <w:szCs w:val="20"/>
                <w:color w:val="auto"/>
              </w:rPr>
            </w:pPr>
            <w:r>
              <w:rPr>
                <w:rFonts w:ascii="Arial" w:cs="Arial" w:eastAsia="Arial" w:hAnsi="Arial"/>
                <w:sz w:val="16"/>
                <w:szCs w:val="16"/>
                <w:color w:val="auto"/>
              </w:rPr>
              <w:t>Contract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Current compensation and benefits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(207)</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All other operating activities –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(218)</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9"/>
        </w:trPr>
        <w:tc>
          <w:tcPr>
            <w:tcW w:w="8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operating activities</w:t>
            </w:r>
          </w:p>
        </w:tc>
        <w:tc>
          <w:tcPr>
            <w:tcW w:w="200" w:type="dxa"/>
            <w:vAlign w:val="bottom"/>
            <w:tcBorders>
              <w:bottom w:val="single" w:sz="8" w:color="E4E4E4"/>
            </w:tcBorders>
            <w:shd w:val="clear" w:color="auto" w:fill="E4E4E4"/>
          </w:tcPr>
          <w:p>
            <w:pPr>
              <w:spacing w:after="0"/>
              <w:rPr>
                <w:sz w:val="21"/>
                <w:szCs w:val="21"/>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344</w:t>
            </w:r>
          </w:p>
        </w:tc>
        <w:tc>
          <w:tcPr>
            <w:tcW w:w="360" w:type="dxa"/>
            <w:vAlign w:val="bottom"/>
            <w:tcBorders>
              <w:bottom w:val="single" w:sz="8" w:color="E4E4E4"/>
            </w:tcBorders>
            <w:shd w:val="clear" w:color="auto" w:fill="E4E4E4"/>
          </w:tcPr>
          <w:p>
            <w:pPr>
              <w:spacing w:after="0"/>
              <w:rPr>
                <w:sz w:val="21"/>
                <w:szCs w:val="21"/>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300</w:t>
            </w:r>
          </w:p>
        </w:tc>
        <w:tc>
          <w:tcPr>
            <w:tcW w:w="0" w:type="dxa"/>
            <w:vAlign w:val="bottom"/>
          </w:tcPr>
          <w:p>
            <w:pPr>
              <w:spacing w:after="0"/>
              <w:rPr>
                <w:sz w:val="1"/>
                <w:szCs w:val="1"/>
                <w:color w:val="auto"/>
              </w:rPr>
            </w:pPr>
          </w:p>
        </w:tc>
      </w:tr>
      <w:tr>
        <w:trPr>
          <w:trHeight w:val="229"/>
        </w:trPr>
        <w:tc>
          <w:tcPr>
            <w:tcW w:w="8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investing activities</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Additions to property, plant and equipment and internal-use software</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(238)</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(279)</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Purchases of investments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All other investing activities –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(84)</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9"/>
        </w:trPr>
        <w:tc>
          <w:tcPr>
            <w:tcW w:w="8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investing activities</w:t>
            </w:r>
          </w:p>
        </w:tc>
        <w:tc>
          <w:tcPr>
            <w:tcW w:w="200" w:type="dxa"/>
            <w:vAlign w:val="bottom"/>
            <w:tcBorders>
              <w:bottom w:val="single" w:sz="8" w:color="E4E4E4"/>
            </w:tcBorders>
            <w:shd w:val="clear" w:color="auto" w:fill="E4E4E4"/>
          </w:tcPr>
          <w:p>
            <w:pPr>
              <w:spacing w:after="0"/>
              <w:rPr>
                <w:sz w:val="21"/>
                <w:szCs w:val="21"/>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(630)</w:t>
            </w:r>
          </w:p>
        </w:tc>
        <w:tc>
          <w:tcPr>
            <w:tcW w:w="360" w:type="dxa"/>
            <w:vAlign w:val="bottom"/>
            <w:tcBorders>
              <w:bottom w:val="single" w:sz="8" w:color="E4E4E4"/>
            </w:tcBorders>
            <w:shd w:val="clear" w:color="auto" w:fill="E4E4E4"/>
          </w:tcPr>
          <w:p>
            <w:pPr>
              <w:spacing w:after="0"/>
              <w:rPr>
                <w:sz w:val="21"/>
                <w:szCs w:val="21"/>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(537)</w:t>
            </w:r>
          </w:p>
        </w:tc>
        <w:tc>
          <w:tcPr>
            <w:tcW w:w="0" w:type="dxa"/>
            <w:vAlign w:val="bottom"/>
          </w:tcPr>
          <w:p>
            <w:pPr>
              <w:spacing w:after="0"/>
              <w:rPr>
                <w:sz w:val="1"/>
                <w:szCs w:val="1"/>
                <w:color w:val="auto"/>
              </w:rPr>
            </w:pPr>
          </w:p>
        </w:tc>
      </w:tr>
      <w:tr>
        <w:trPr>
          <w:trHeight w:val="229"/>
        </w:trPr>
        <w:tc>
          <w:tcPr>
            <w:tcW w:w="8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financing activities</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increase (decrease) in borrowings (maturities of 90 days or less)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Newly issued debt, net of debt issuance costs (maturities longer than 90 days)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1,493</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Repayments and other reductions (maturities longer than 90 days)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(261)</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Dividends paid to stockholders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Repurchase of common stock</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Proceeds from stock issued under employee benefit plans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Taxes paid related to net share settlement of equity awards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All other financing activities –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9"/>
        </w:trPr>
        <w:tc>
          <w:tcPr>
            <w:tcW w:w="8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financing activities</w:t>
            </w:r>
          </w:p>
        </w:tc>
        <w:tc>
          <w:tcPr>
            <w:tcW w:w="200" w:type="dxa"/>
            <w:vAlign w:val="bottom"/>
            <w:tcBorders>
              <w:bottom w:val="single" w:sz="8" w:color="E4E4E4"/>
            </w:tcBorders>
            <w:shd w:val="clear" w:color="auto" w:fill="E4E4E4"/>
          </w:tcPr>
          <w:p>
            <w:pPr>
              <w:spacing w:after="0"/>
              <w:rPr>
                <w:sz w:val="21"/>
                <w:szCs w:val="21"/>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1,075</w:t>
            </w:r>
          </w:p>
        </w:tc>
        <w:tc>
          <w:tcPr>
            <w:tcW w:w="360" w:type="dxa"/>
            <w:vAlign w:val="bottom"/>
            <w:tcBorders>
              <w:bottom w:val="single" w:sz="8" w:color="E4E4E4"/>
            </w:tcBorders>
            <w:shd w:val="clear" w:color="auto" w:fill="E4E4E4"/>
          </w:tcPr>
          <w:p>
            <w:pPr>
              <w:spacing w:after="0"/>
              <w:rPr>
                <w:sz w:val="21"/>
                <w:szCs w:val="21"/>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(210)</w:t>
            </w:r>
          </w:p>
        </w:tc>
        <w:tc>
          <w:tcPr>
            <w:tcW w:w="0" w:type="dxa"/>
            <w:vAlign w:val="bottom"/>
          </w:tcPr>
          <w:p>
            <w:pPr>
              <w:spacing w:after="0"/>
              <w:rPr>
                <w:sz w:val="1"/>
                <w:szCs w:val="1"/>
                <w:color w:val="auto"/>
              </w:rPr>
            </w:pPr>
          </w:p>
        </w:tc>
      </w:tr>
      <w:tr>
        <w:trPr>
          <w:trHeight w:val="221"/>
        </w:trPr>
        <w:tc>
          <w:tcPr>
            <w:tcW w:w="8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Effect of foreign currency rate changes on cash, cash equivalents, and restricted cash</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9"/>
        </w:trPr>
        <w:tc>
          <w:tcPr>
            <w:tcW w:w="8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Increase (decrease) in cash, cash equivalents, and restricted cash</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873</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(488)</w:t>
            </w:r>
          </w:p>
        </w:tc>
        <w:tc>
          <w:tcPr>
            <w:tcW w:w="0" w:type="dxa"/>
            <w:vAlign w:val="bottom"/>
          </w:tcPr>
          <w:p>
            <w:pPr>
              <w:spacing w:after="0"/>
              <w:rPr>
                <w:sz w:val="1"/>
                <w:szCs w:val="1"/>
                <w:color w:val="auto"/>
              </w:rPr>
            </w:pP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2,893</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2,506</w:t>
            </w:r>
          </w:p>
        </w:tc>
        <w:tc>
          <w:tcPr>
            <w:tcW w:w="0" w:type="dxa"/>
            <w:vAlign w:val="bottom"/>
          </w:tcPr>
          <w:p>
            <w:pPr>
              <w:spacing w:after="0"/>
              <w:rPr>
                <w:sz w:val="1"/>
                <w:szCs w:val="1"/>
                <w:color w:val="auto"/>
              </w:rPr>
            </w:pPr>
          </w:p>
        </w:tc>
      </w:tr>
      <w:tr>
        <w:trPr>
          <w:trHeight w:val="29"/>
        </w:trPr>
        <w:tc>
          <w:tcPr>
            <w:tcW w:w="8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3,766</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196"/>
        </w:trPr>
        <w:tc>
          <w:tcPr>
            <w:tcW w:w="80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Supplemental disclosure of cash flows information</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Cash paid during the year for interest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(260)</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9"/>
        </w:trPr>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2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40" w:type="dxa"/>
            <w:vAlign w:val="bottom"/>
          </w:tcPr>
          <w:p>
            <w:pPr>
              <w:ind w:left="20"/>
              <w:spacing w:after="0"/>
              <w:rPr>
                <w:sz w:val="20"/>
                <w:szCs w:val="20"/>
                <w:color w:val="auto"/>
              </w:rPr>
            </w:pPr>
            <w:r>
              <w:rPr>
                <w:rFonts w:ascii="Arial" w:cs="Arial" w:eastAsia="Arial" w:hAnsi="Arial"/>
                <w:sz w:val="16"/>
                <w:szCs w:val="16"/>
                <w:color w:val="auto"/>
              </w:rPr>
              <w:t>Acquired but unpaid property, plant, and equipment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90</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9"/>
        </w:trPr>
        <w:tc>
          <w:tcPr>
            <w:tcW w:w="8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57"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GE HealthCare Technologies Inc. is a trusted partner and leading global healthcare solutions provider, innovating medical technology, pharmaceutical diagnostics, and integrated, cloud-first AI-enabled solutions, services, and data analytics.</w:t>
      </w:r>
    </w:p>
    <w:p>
      <w:pPr>
        <w:spacing w:after="0" w:line="196"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condensed consolidated financial statements (the “financial statements”) of GE HealthCare Technologies Inc. and its subsidiaries (“GE HealthCare,” the “Company,” “our,” “us,” or “we”) have been prepared in accordance with United States (“U.S.”) generally accepted accounting principles (“U.S. GAAP”) for interim financial information and in accordance with the instructions to Form 10-Q and Article 10 of Regulation S-X. Accordingly, the financial statements do not include all of the information and notes required by U.S. GAAP for complete financial statements. In the opinion of management, all adjustments, including normal recurring adjustments, considered necessary for a fair presentation of the Company’s financial position and operating results have been included. All intercompany balances and transactions within the Company have been eliminated in the financial statements. Operating results for the three and six months ended June 30, 2025 and 2024 are not necessarily indicative of the results that may be expected for the fiscal year as a whole. The December 31, 2024 period presented on the Condensed Consolidated Statement of Financial Position was derived from audited financial statements, but does not include all disclosures required by U.S. GAAP. Tables throughout this document are presented in millions of U.S. dollars unless otherwise stated and certain columns and rows may not sum due to the use of rounded numbers. Percentages presented are calculated from the underlying whole-dollar amounts.</w:t>
      </w:r>
    </w:p>
    <w:p>
      <w:pPr>
        <w:spacing w:after="0" w:line="200" w:lineRule="exact"/>
        <w:rPr>
          <w:sz w:val="20"/>
          <w:szCs w:val="20"/>
          <w:color w:val="auto"/>
        </w:rPr>
      </w:pPr>
    </w:p>
    <w:p>
      <w:pPr>
        <w:spacing w:after="0" w:line="206"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The financial statements and notes should be read in conjunction with the Company’s audited consolidated and combined financial statements and notes included in our Annual Report on Form 10-K for the fiscal year ended December 31, 2024.</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On January 3, 2023, General Electric Company, which now operates as GE Aerospace (“GE”), completed the spin-off of GE HealthCare Technologies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“Spin-Off”). Following this transaction, GE continues to be considered a related party due to the nature of our relationship and board member affiliation.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Net costs incurred with GE were not significant for the six months ended June 30, 2025.</w:t>
      </w:r>
    </w:p>
    <w:p>
      <w:pPr>
        <w:spacing w:after="0" w:line="23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Certain prior year amounts in the financial statements and notes thereto have been reclassified to conform to the current year presentation. On the Condensed Consolidated Statements of Cash Flows, new line items were added and amounts were reclassified accordingly for the following items: amounts related to purchases of investments previously reported within All other investing activities – net and amounts related to equity award activity previously reported within All other financing activities – net. Additionally, amounts due from related parties and due to related parties which were previously shown on separate lines on the Condensed Consolidated Statements of Cash Flows and Condensed Consolidated Statements of Financial Position were reclassified to Receivables, All other current assets, Accounts Payable, All other current liabilities, and All other operating activities - net as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ESTIMATES AND ASSUMPTIONS.</w:t>
      </w:r>
    </w:p>
    <w:p>
      <w:pPr>
        <w:spacing w:after="0" w:line="26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based on assumptions about current, and for some estimates, future, economic and market conditions, which affect the reported amounts and related disclosures in the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4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We evaluate Accounting Standards Updates (“ASUs”) issued by the Financial Accounting Standards Board (“FASB”). ASUs not included in our disclosures were assessed and determined to either be not applicable or are not expected to have a material impact on our financial statements.</w:t>
      </w:r>
    </w:p>
    <w:p>
      <w:pPr>
        <w:spacing w:after="0" w:line="16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In December 2023, the FASB issued ASU No. 2023-09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We expect the adoption to impact disclosures in our notes to the financial statements.</w:t>
      </w:r>
    </w:p>
    <w:p>
      <w:pPr>
        <w:spacing w:after="0" w:line="199"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 xml:space="preserve">In November 2024, the FASB issued ASU No. 2024-03 (“ASU 2024-03”), </w:t>
      </w:r>
      <w:r>
        <w:rPr>
          <w:rFonts w:ascii="Arial" w:cs="Arial" w:eastAsia="Arial" w:hAnsi="Arial"/>
          <w:sz w:val="16"/>
          <w:szCs w:val="16"/>
          <w:i w:val="1"/>
          <w:iCs w:val="1"/>
          <w:color w:val="auto"/>
        </w:rPr>
        <w:t>Income Statement - Reporting Comprehensive Income - Expense Disaggregation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 (Subtopic 220-40): Disaggregation of Income Statement Expenses</w:t>
      </w:r>
      <w:r>
        <w:rPr>
          <w:rFonts w:ascii="Arial" w:cs="Arial" w:eastAsia="Arial" w:hAnsi="Arial"/>
          <w:sz w:val="16"/>
          <w:szCs w:val="16"/>
          <w:color w:val="auto"/>
        </w:rPr>
        <w:t>. ASU 2024-03 addresses investor requests for more transparency about</w:t>
      </w:r>
    </w:p>
    <w:p>
      <w:pPr>
        <w:ind w:right="260"/>
        <w:spacing w:after="0" w:line="276" w:lineRule="auto"/>
        <w:rPr>
          <w:sz w:val="20"/>
          <w:szCs w:val="20"/>
          <w:color w:val="auto"/>
        </w:rPr>
      </w:pPr>
      <w:r>
        <w:rPr>
          <w:rFonts w:ascii="Arial" w:cs="Arial" w:eastAsia="Arial" w:hAnsi="Arial"/>
          <w:sz w:val="16"/>
          <w:szCs w:val="16"/>
          <w:color w:val="auto"/>
        </w:rPr>
        <w:t>expense information through the disaggregation of relevant expense captions in the notes to the financial statements. The provisions of ASU 2024-03 are effective for fiscal years beginning after December 15, 2026 and interim periods within fiscal years beginning after December 15, 2027. We expect the adoption to impact disclosures in our notes to the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5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revenues primarily consist of sales of products and services to customers. Products include equipment, imaging agents, software-related offerings, and upgrades. Services include contractual and stand-by preventative maintenance and corrective services, as well as related parts and labor, extended warranties, training, and other service-type offerings. The Company recognizes revenue from contracts with customers when the customer obtains control of the underlying products or services.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AND OTHER DEFERRED ASSETS.</w:t>
      </w:r>
    </w:p>
    <w:p>
      <w:pPr>
        <w:spacing w:after="0" w:line="24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Contract assets reflect revenue recognized on contracts with customers in excess of billings based on contractual terms. Contract assets are classified as current or non-current based on the amount of time expected to lapse until the Company’s right to consideration becomes unconditional. Other deferred assets consist of costs to obtain contracts, primarily commissions, other cost deferrals for shipped products, and deferred service, labor, and direct overhead costs.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840" w:type="dxa"/>
            <w:vAlign w:val="bottom"/>
          </w:tcPr>
          <w:p>
            <w:pPr>
              <w:spacing w:after="0"/>
              <w:rPr>
                <w:sz w:val="19"/>
                <w:szCs w:val="19"/>
                <w:color w:val="auto"/>
              </w:rPr>
            </w:pPr>
          </w:p>
        </w:tc>
      </w:tr>
      <w:tr>
        <w:trPr>
          <w:trHeight w:val="21"/>
        </w:trPr>
        <w:tc>
          <w:tcPr>
            <w:tcW w:w="7060" w:type="dxa"/>
            <w:vAlign w:val="bottom"/>
          </w:tcPr>
          <w:p>
            <w:pPr>
              <w:spacing w:after="0" w:line="20" w:lineRule="exact"/>
              <w:rPr>
                <w:sz w:val="1"/>
                <w:szCs w:val="1"/>
                <w:color w:val="auto"/>
              </w:rPr>
            </w:pPr>
          </w:p>
        </w:tc>
        <w:tc>
          <w:tcPr>
            <w:tcW w:w="158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840" w:type="dxa"/>
            <w:vAlign w:val="bottom"/>
            <w:tcBorders>
              <w:bottom w:val="single" w:sz="8" w:color="454545"/>
            </w:tcBorders>
          </w:tcPr>
          <w:p>
            <w:pPr>
              <w:spacing w:after="0" w:line="20" w:lineRule="exact"/>
              <w:rPr>
                <w:sz w:val="1"/>
                <w:szCs w:val="1"/>
                <w:color w:val="auto"/>
              </w:rPr>
            </w:pPr>
          </w:p>
        </w:tc>
      </w:tr>
      <w:tr>
        <w:trPr>
          <w:trHeight w:val="229"/>
        </w:trPr>
        <w:tc>
          <w:tcPr>
            <w:tcW w:w="70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454545"/>
              </w:rPr>
              <w:t>June 30, 2025</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ind w:right="23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060" w:type="dxa"/>
            <w:vAlign w:val="bottom"/>
            <w:tcBorders>
              <w:bottom w:val="single" w:sz="8" w:color="6022A6"/>
            </w:tcBorders>
          </w:tcPr>
          <w:p>
            <w:pPr>
              <w:spacing w:after="0" w:line="20" w:lineRule="exact"/>
              <w:rPr>
                <w:sz w:val="1"/>
                <w:szCs w:val="1"/>
                <w:color w:val="auto"/>
              </w:rPr>
            </w:pPr>
          </w:p>
        </w:tc>
        <w:tc>
          <w:tcPr>
            <w:tcW w:w="158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840" w:type="dxa"/>
            <w:vAlign w:val="bottom"/>
            <w:tcBorders>
              <w:bottom w:val="single" w:sz="8" w:color="6022A6"/>
            </w:tcBorders>
          </w:tcPr>
          <w:p>
            <w:pPr>
              <w:spacing w:after="0" w:line="20" w:lineRule="exact"/>
              <w:rPr>
                <w:sz w:val="1"/>
                <w:szCs w:val="1"/>
                <w:color w:val="auto"/>
              </w:rPr>
            </w:pP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assets</w:t>
            </w:r>
          </w:p>
        </w:tc>
        <w:tc>
          <w:tcPr>
            <w:tcW w:w="1580" w:type="dxa"/>
            <w:vAlign w:val="bottom"/>
            <w:tcBorders>
              <w:bottom w:val="single" w:sz="8" w:color="E4E4E4"/>
            </w:tcBorders>
            <w:shd w:val="clear" w:color="auto" w:fill="E4E4E4"/>
          </w:tcPr>
          <w:p>
            <w:pPr>
              <w:jc w:val="right"/>
              <w:ind w:right="13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669</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589</w:t>
            </w:r>
          </w:p>
        </w:tc>
      </w:tr>
      <w:tr>
        <w:trPr>
          <w:trHeight w:val="227"/>
        </w:trPr>
        <w:tc>
          <w:tcPr>
            <w:tcW w:w="7060" w:type="dxa"/>
            <w:vAlign w:val="bottom"/>
          </w:tcPr>
          <w:p>
            <w:pPr>
              <w:ind w:left="20"/>
              <w:spacing w:after="0"/>
              <w:rPr>
                <w:sz w:val="20"/>
                <w:szCs w:val="20"/>
                <w:color w:val="auto"/>
              </w:rPr>
            </w:pPr>
            <w:r>
              <w:rPr>
                <w:rFonts w:ascii="Arial" w:cs="Arial" w:eastAsia="Arial" w:hAnsi="Arial"/>
                <w:sz w:val="16"/>
                <w:szCs w:val="16"/>
                <w:color w:val="auto"/>
              </w:rPr>
              <w:t>Other deferred assets</w:t>
            </w:r>
          </w:p>
        </w:tc>
        <w:tc>
          <w:tcPr>
            <w:tcW w:w="1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393</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9"/>
        </w:trPr>
        <w:tc>
          <w:tcPr>
            <w:tcW w:w="70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158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1,062</w:t>
            </w:r>
          </w:p>
        </w:tc>
        <w:tc>
          <w:tcPr>
            <w:tcW w:w="280" w:type="dxa"/>
            <w:vAlign w:val="bottom"/>
            <w:tcBorders>
              <w:bottom w:val="single" w:sz="8" w:color="E4E4E4"/>
            </w:tcBorders>
            <w:shd w:val="clear" w:color="auto" w:fill="E4E4E4"/>
          </w:tcPr>
          <w:p>
            <w:pPr>
              <w:spacing w:after="0"/>
              <w:rPr>
                <w:sz w:val="20"/>
                <w:szCs w:val="20"/>
                <w:color w:val="auto"/>
              </w:rPr>
            </w:pP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974</w:t>
            </w:r>
          </w:p>
        </w:tc>
      </w:tr>
      <w:tr>
        <w:trPr>
          <w:trHeight w:val="257"/>
        </w:trPr>
        <w:tc>
          <w:tcPr>
            <w:tcW w:w="7060" w:type="dxa"/>
            <w:vAlign w:val="bottom"/>
          </w:tcPr>
          <w:p>
            <w:pPr>
              <w:ind w:left="20"/>
              <w:spacing w:after="0"/>
              <w:rPr>
                <w:sz w:val="20"/>
                <w:szCs w:val="20"/>
                <w:color w:val="auto"/>
              </w:rPr>
            </w:pPr>
            <w:r>
              <w:rPr>
                <w:rFonts w:ascii="Arial" w:cs="Arial" w:eastAsia="Arial" w:hAnsi="Arial"/>
                <w:sz w:val="16"/>
                <w:szCs w:val="16"/>
                <w:color w:val="auto"/>
              </w:rPr>
              <w:t>Non-current contract assets</w:t>
            </w:r>
            <w:r>
              <w:rPr>
                <w:rFonts w:ascii="Arial" w:cs="Arial" w:eastAsia="Arial" w:hAnsi="Arial"/>
                <w:sz w:val="21"/>
                <w:szCs w:val="21"/>
                <w:color w:val="auto"/>
                <w:vertAlign w:val="superscript"/>
              </w:rPr>
              <w:t>(1)</w:t>
            </w:r>
          </w:p>
        </w:tc>
        <w:tc>
          <w:tcPr>
            <w:tcW w:w="15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92</w:t>
            </w:r>
          </w:p>
        </w:tc>
        <w:tc>
          <w:tcPr>
            <w:tcW w:w="2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57"/>
        </w:trPr>
        <w:tc>
          <w:tcPr>
            <w:tcW w:w="70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Non-current other deferred assets</w:t>
            </w:r>
            <w:r>
              <w:rPr>
                <w:rFonts w:ascii="Arial" w:cs="Arial" w:eastAsia="Arial" w:hAnsi="Arial"/>
                <w:sz w:val="21"/>
                <w:szCs w:val="21"/>
                <w:color w:val="auto"/>
                <w:vertAlign w:val="superscript"/>
              </w:rPr>
              <w:t>(1)</w:t>
            </w:r>
          </w:p>
        </w:tc>
        <w:tc>
          <w:tcPr>
            <w:tcW w:w="1580" w:type="dxa"/>
            <w:vAlign w:val="bottom"/>
            <w:tcBorders>
              <w:bottom w:val="single" w:sz="8" w:color="auto"/>
            </w:tcBorders>
            <w:shd w:val="clear" w:color="auto" w:fill="E4E4E4"/>
          </w:tcPr>
          <w:p>
            <w:pPr>
              <w:spacing w:after="0"/>
              <w:rPr>
                <w:sz w:val="22"/>
                <w:szCs w:val="22"/>
                <w:color w:val="auto"/>
              </w:rPr>
            </w:pPr>
          </w:p>
        </w:tc>
        <w:tc>
          <w:tcPr>
            <w:tcW w:w="4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115</w:t>
            </w:r>
          </w:p>
        </w:tc>
        <w:tc>
          <w:tcPr>
            <w:tcW w:w="280" w:type="dxa"/>
            <w:vAlign w:val="bottom"/>
            <w:tcBorders>
              <w:bottom w:val="single" w:sz="8" w:color="auto"/>
            </w:tcBorders>
            <w:shd w:val="clear" w:color="auto" w:fill="E4E4E4"/>
          </w:tcPr>
          <w:p>
            <w:pPr>
              <w:spacing w:after="0"/>
              <w:rPr>
                <w:sz w:val="22"/>
                <w:szCs w:val="22"/>
                <w:color w:val="auto"/>
              </w:rPr>
            </w:pPr>
          </w:p>
        </w:tc>
        <w:tc>
          <w:tcPr>
            <w:tcW w:w="1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105</w:t>
            </w: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Total contract and other deferred assets</w:t>
            </w:r>
          </w:p>
        </w:tc>
        <w:tc>
          <w:tcPr>
            <w:tcW w:w="1580" w:type="dxa"/>
            <w:vAlign w:val="bottom"/>
          </w:tcPr>
          <w:p>
            <w:pPr>
              <w:jc w:val="right"/>
              <w:ind w:right="139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1,269</w:t>
            </w:r>
          </w:p>
        </w:tc>
        <w:tc>
          <w:tcPr>
            <w:tcW w:w="2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1,183</w:t>
            </w:r>
          </w:p>
        </w:tc>
      </w:tr>
      <w:tr>
        <w:trPr>
          <w:trHeight w:val="21"/>
        </w:trPr>
        <w:tc>
          <w:tcPr>
            <w:tcW w:w="70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680" w:hanging="252"/>
        <w:spacing w:after="0" w:line="304"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Non-current contract and other deferred assets are recognized within All other non-current assets in the Condensed Consolidated Statements of Financial Position.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LIABILITIES.</w:t>
      </w:r>
    </w:p>
    <w:p>
      <w:pPr>
        <w:spacing w:after="0" w:line="24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Contract liabilities include customer advances and deposits received when orders are placed and billed in advance of completion of performance obligations. Contract liabilities are classified as current or non-current based on the periods over which these remaining performance obligations are expected to be satisfied with our customers.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840" w:type="dxa"/>
            <w:vAlign w:val="bottom"/>
          </w:tcPr>
          <w:p>
            <w:pPr>
              <w:spacing w:after="0"/>
              <w:rPr>
                <w:sz w:val="19"/>
                <w:szCs w:val="19"/>
                <w:color w:val="auto"/>
              </w:rPr>
            </w:pPr>
          </w:p>
        </w:tc>
      </w:tr>
      <w:tr>
        <w:trPr>
          <w:trHeight w:val="21"/>
        </w:trPr>
        <w:tc>
          <w:tcPr>
            <w:tcW w:w="7060" w:type="dxa"/>
            <w:vAlign w:val="bottom"/>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840" w:type="dxa"/>
            <w:vAlign w:val="bottom"/>
            <w:tcBorders>
              <w:bottom w:val="single" w:sz="8" w:color="454545"/>
            </w:tcBorders>
          </w:tcPr>
          <w:p>
            <w:pPr>
              <w:spacing w:after="0" w:line="20" w:lineRule="exact"/>
              <w:rPr>
                <w:sz w:val="1"/>
                <w:szCs w:val="1"/>
                <w:color w:val="auto"/>
              </w:rPr>
            </w:pPr>
          </w:p>
        </w:tc>
      </w:tr>
      <w:tr>
        <w:trPr>
          <w:trHeight w:val="229"/>
        </w:trPr>
        <w:tc>
          <w:tcPr>
            <w:tcW w:w="70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454545"/>
              </w:rPr>
              <w:t>June 30, 2025</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ind w:right="23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060" w:type="dxa"/>
            <w:vAlign w:val="bottom"/>
            <w:tcBorders>
              <w:bottom w:val="single" w:sz="8" w:color="6022A6"/>
            </w:tcBorders>
          </w:tcPr>
          <w:p>
            <w:pPr>
              <w:spacing w:after="0" w:line="20" w:lineRule="exact"/>
              <w:rPr>
                <w:sz w:val="1"/>
                <w:szCs w:val="1"/>
                <w:color w:val="auto"/>
              </w:rPr>
            </w:pPr>
          </w:p>
        </w:tc>
        <w:tc>
          <w:tcPr>
            <w:tcW w:w="160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840" w:type="dxa"/>
            <w:vAlign w:val="bottom"/>
            <w:tcBorders>
              <w:bottom w:val="single" w:sz="8" w:color="6022A6"/>
            </w:tcBorders>
          </w:tcPr>
          <w:p>
            <w:pPr>
              <w:spacing w:after="0" w:line="20" w:lineRule="exact"/>
              <w:rPr>
                <w:sz w:val="1"/>
                <w:szCs w:val="1"/>
                <w:color w:val="auto"/>
              </w:rPr>
            </w:pP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1600" w:type="dxa"/>
            <w:vAlign w:val="bottom"/>
            <w:tcBorders>
              <w:bottom w:val="single" w:sz="8" w:color="E4E4E4"/>
            </w:tcBorders>
            <w:shd w:val="clear" w:color="auto" w:fill="E4E4E4"/>
          </w:tcPr>
          <w:p>
            <w:pPr>
              <w:jc w:val="right"/>
              <w:ind w:right="14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9"/>
              </w:rPr>
              <w:t>1,979</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1,943</w:t>
            </w:r>
          </w:p>
        </w:tc>
      </w:tr>
      <w:tr>
        <w:trPr>
          <w:trHeight w:val="256"/>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contract liabilities</w:t>
            </w:r>
            <w:r>
              <w:rPr>
                <w:rFonts w:ascii="Arial" w:cs="Arial" w:eastAsia="Arial" w:hAnsi="Arial"/>
                <w:sz w:val="21"/>
                <w:szCs w:val="21"/>
                <w:color w:val="auto"/>
                <w:vertAlign w:val="superscript"/>
              </w:rPr>
              <w:t>(1)</w:t>
            </w:r>
          </w:p>
        </w:tc>
        <w:tc>
          <w:tcPr>
            <w:tcW w:w="16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w:t>
            </w:r>
          </w:p>
        </w:tc>
        <w:tc>
          <w:tcPr>
            <w:tcW w:w="2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contract liabilities</w:t>
            </w:r>
          </w:p>
        </w:tc>
        <w:tc>
          <w:tcPr>
            <w:tcW w:w="1600" w:type="dxa"/>
            <w:vAlign w:val="bottom"/>
            <w:tcBorders>
              <w:bottom w:val="single" w:sz="8" w:color="E4E4E4"/>
            </w:tcBorders>
            <w:shd w:val="clear" w:color="auto" w:fill="E4E4E4"/>
          </w:tcPr>
          <w:p>
            <w:pPr>
              <w:jc w:val="right"/>
              <w:ind w:right="141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9"/>
              </w:rPr>
              <w:t>2,720</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2,629</w:t>
            </w:r>
          </w:p>
        </w:tc>
      </w:tr>
      <w:tr>
        <w:trPr>
          <w:trHeight w:val="20"/>
        </w:trPr>
        <w:tc>
          <w:tcPr>
            <w:tcW w:w="70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Non-current contract liabilities are recognized within All other non-current liabilities in the Condensed Consolidated Statements of Financial Position.</w:t>
      </w:r>
    </w:p>
    <w:p>
      <w:pPr>
        <w:spacing w:after="0" w:line="262"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Revenue recognized related to the contract liabilities balance at the beginning of the year was approximately $1,134 million and $1,116 million for the six months ended June 30, 2025 and 2024,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REMAINING PERFORMANCE OBLIGATIONS.</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Remaining performance obligations (“RPO”) represents the estimated revenue expected from customer contracts that are partially or fully unperformed inclusive of amounts deferred in contract liabilities, excluding contracts, or portions thereof, that provide the customer with the right to cancel or terminate without incurring a substantive penalty. RPO also excludes estimated revenue from arrangements where we lease equipment manufactured by the Company to customers.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860" w:type="dxa"/>
            <w:vAlign w:val="bottom"/>
          </w:tcPr>
          <w:p>
            <w:pPr>
              <w:spacing w:after="0"/>
              <w:rPr>
                <w:sz w:val="19"/>
                <w:szCs w:val="19"/>
                <w:color w:val="auto"/>
              </w:rPr>
            </w:pPr>
          </w:p>
        </w:tc>
      </w:tr>
      <w:tr>
        <w:trPr>
          <w:trHeight w:val="21"/>
        </w:trPr>
        <w:tc>
          <w:tcPr>
            <w:tcW w:w="700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r>
      <w:tr>
        <w:trPr>
          <w:trHeight w:val="229"/>
        </w:trPr>
        <w:tc>
          <w:tcPr>
            <w:tcW w:w="7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ind w:right="439"/>
              <w:spacing w:after="0"/>
              <w:rPr>
                <w:sz w:val="20"/>
                <w:szCs w:val="20"/>
                <w:color w:val="auto"/>
              </w:rPr>
            </w:pPr>
            <w:r>
              <w:rPr>
                <w:rFonts w:ascii="Arial" w:cs="Arial" w:eastAsia="Arial" w:hAnsi="Arial"/>
                <w:sz w:val="16"/>
                <w:szCs w:val="16"/>
                <w:b w:val="1"/>
                <w:bCs w:val="1"/>
                <w:color w:val="454545"/>
              </w:rPr>
              <w:t>June 30, 2025</w:t>
            </w:r>
          </w:p>
        </w:tc>
        <w:tc>
          <w:tcPr>
            <w:tcW w:w="280" w:type="dxa"/>
            <w:vAlign w:val="bottom"/>
          </w:tcPr>
          <w:p>
            <w:pPr>
              <w:spacing w:after="0"/>
              <w:rPr>
                <w:sz w:val="19"/>
                <w:szCs w:val="19"/>
                <w:color w:val="auto"/>
              </w:rPr>
            </w:pPr>
          </w:p>
        </w:tc>
        <w:tc>
          <w:tcPr>
            <w:tcW w:w="1860" w:type="dxa"/>
            <w:vAlign w:val="bottom"/>
          </w:tcPr>
          <w:p>
            <w:pPr>
              <w:jc w:val="right"/>
              <w:ind w:right="25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00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7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860" w:type="dxa"/>
            <w:vAlign w:val="bottom"/>
            <w:tcBorders>
              <w:bottom w:val="single" w:sz="8" w:color="6022A6"/>
            </w:tcBorders>
          </w:tcPr>
          <w:p>
            <w:pPr>
              <w:spacing w:after="0" w:line="20" w:lineRule="exact"/>
              <w:rPr>
                <w:sz w:val="1"/>
                <w:szCs w:val="1"/>
                <w:color w:val="auto"/>
              </w:rPr>
            </w:pPr>
          </w:p>
        </w:tc>
      </w:tr>
      <w:tr>
        <w:trPr>
          <w:trHeight w:val="270"/>
        </w:trPr>
        <w:tc>
          <w:tcPr>
            <w:tcW w:w="7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Products</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4,805</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4,755</w:t>
            </w:r>
          </w:p>
        </w:tc>
      </w:tr>
      <w:tr>
        <w:trPr>
          <w:trHeight w:val="268"/>
        </w:trPr>
        <w:tc>
          <w:tcPr>
            <w:tcW w:w="7000" w:type="dxa"/>
            <w:vAlign w:val="bottom"/>
          </w:tcPr>
          <w:p>
            <w:pPr>
              <w:ind w:left="20"/>
              <w:spacing w:after="0"/>
              <w:rPr>
                <w:sz w:val="20"/>
                <w:szCs w:val="20"/>
                <w:color w:val="auto"/>
              </w:rPr>
            </w:pPr>
            <w:r>
              <w:rPr>
                <w:rFonts w:ascii="Arial" w:cs="Arial" w:eastAsia="Arial" w:hAnsi="Arial"/>
                <w:sz w:val="16"/>
                <w:szCs w:val="16"/>
                <w:color w:val="auto"/>
              </w:rPr>
              <w:t>Services</w:t>
            </w:r>
          </w:p>
        </w:tc>
        <w:tc>
          <w:tcPr>
            <w:tcW w:w="3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10,500</w:t>
            </w:r>
          </w:p>
        </w:tc>
        <w:tc>
          <w:tcPr>
            <w:tcW w:w="28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9,737</w:t>
            </w:r>
          </w:p>
        </w:tc>
      </w:tr>
      <w:tr>
        <w:trPr>
          <w:trHeight w:val="29"/>
        </w:trPr>
        <w:tc>
          <w:tcPr>
            <w:tcW w:w="7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70"/>
        </w:trPr>
        <w:tc>
          <w:tcPr>
            <w:tcW w:w="7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RPO</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15,304</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14,491</w:t>
            </w:r>
          </w:p>
        </w:tc>
      </w:tr>
      <w:tr>
        <w:trPr>
          <w:trHeight w:val="20"/>
        </w:trPr>
        <w:tc>
          <w:tcPr>
            <w:tcW w:w="7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We expect to recognize substantially all of the revenue for our product-related RPO within two years and services-related RPO within five years.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INFORMATION</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Effective July 1, 2024, Image Guided Therapies, previously part of the Imaging segment, was realigned to the Ultrasound segment. The Ultrasound segment was subsequently renamed Advanced Visualization Solutions (“AVS”). Following this realignment, the Company continues to have four reportable segments: Imaging, Advanced Visualization Solutions, Patient Care Solutions (“PCS”), and Pharmaceutical Diagnostics (“PDx”). These segments have been identified based on the nature of the products sold and how the Company manages its operations. We have not aggregated any of our operating segments to form reportable segments. A description of our reportable segments has been provided in Item 1, “Business” of our Annual Report on Form 10-K for the fiscal year ended December 31, 2024. Historical segment financial information presented within this report has been recast to conform to the new reportable segments structure.</w:t>
      </w:r>
    </w:p>
    <w:p>
      <w:pPr>
        <w:spacing w:after="0" w:line="21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Company’s organizational structure is based upon the availability of separate financial information that is evaluated regularly by the Company’s Chief Operating Decision Maker (“CODM”) for the purpose of assessing performance and allocating resources. The Company’s CODM is its Chief Executive Officer. The CODM assesses segment performance using Total revenues and an earnings metric defined as “Segment EBIT.” Segment EBIT is calculated as income before income taxes in our Condensed Consolidated Statements of Income excluding the impact of the following: Interest and other financial charges</w:t>
      </w:r>
    </w:p>
    <w:p>
      <w:pPr>
        <w:ind w:right="280"/>
        <w:spacing w:after="0" w:line="264" w:lineRule="auto"/>
        <w:rPr>
          <w:sz w:val="20"/>
          <w:szCs w:val="20"/>
          <w:color w:val="auto"/>
        </w:rPr>
      </w:pPr>
      <w:r>
        <w:rPr>
          <w:rFonts w:ascii="Arial" w:cs="Arial" w:eastAsia="Arial" w:hAnsi="Arial"/>
          <w:sz w:val="16"/>
          <w:szCs w:val="16"/>
          <w:color w:val="auto"/>
        </w:rPr>
        <w:t>– net, Non-operating benefit (income) costs, restructuring costs, acquisition and disposition-related benefits (charges), gain (loss) on business and asset dispositions, Spin-Off and separation costs, amortization of acquisition-related intangible assets, and investment revaluation gain (loss). Segment EBIT is also used in the annual budget and periodic forecasting processes and informs the CODM in decision making regarding the allocation of resources to the segments.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Total Revenues by Segment</w:t>
            </w:r>
          </w:p>
        </w:tc>
        <w:tc>
          <w:tcPr>
            <w:tcW w:w="180" w:type="dxa"/>
            <w:vAlign w:val="bottom"/>
          </w:tcPr>
          <w:p>
            <w:pPr>
              <w:spacing w:after="0"/>
              <w:rPr>
                <w:sz w:val="19"/>
                <w:szCs w:val="19"/>
                <w:color w:val="auto"/>
              </w:rPr>
            </w:pPr>
          </w:p>
        </w:tc>
        <w:tc>
          <w:tcPr>
            <w:tcW w:w="3220" w:type="dxa"/>
            <w:vAlign w:val="bottom"/>
            <w:gridSpan w:val="4"/>
          </w:tcPr>
          <w:p>
            <w:pPr>
              <w:ind w:left="80"/>
              <w:spacing w:after="0"/>
              <w:rPr>
                <w:sz w:val="20"/>
                <w:szCs w:val="20"/>
                <w:color w:val="auto"/>
              </w:rPr>
            </w:pPr>
            <w:r>
              <w:rPr>
                <w:rFonts w:ascii="Arial" w:cs="Arial" w:eastAsia="Arial" w:hAnsi="Arial"/>
                <w:sz w:val="16"/>
                <w:szCs w:val="16"/>
                <w:b w:val="1"/>
                <w:bCs w:val="1"/>
                <w:color w:val="454545"/>
              </w:rPr>
              <w:t>For the three months ended June 30</w:t>
            </w:r>
          </w:p>
        </w:tc>
        <w:tc>
          <w:tcPr>
            <w:tcW w:w="220" w:type="dxa"/>
            <w:vAlign w:val="bottom"/>
          </w:tcPr>
          <w:p>
            <w:pPr>
              <w:spacing w:after="0"/>
              <w:rPr>
                <w:sz w:val="19"/>
                <w:szCs w:val="19"/>
                <w:color w:val="auto"/>
              </w:rPr>
            </w:pPr>
          </w:p>
        </w:tc>
        <w:tc>
          <w:tcPr>
            <w:tcW w:w="310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45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29"/>
        </w:trPr>
        <w:tc>
          <w:tcPr>
            <w:tcW w:w="4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c>
          <w:tcPr>
            <w:tcW w:w="40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c>
          <w:tcPr>
            <w:tcW w:w="40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2024</w:t>
            </w:r>
          </w:p>
        </w:tc>
      </w:tr>
      <w:tr>
        <w:trPr>
          <w:trHeight w:val="21"/>
        </w:trPr>
        <w:tc>
          <w:tcPr>
            <w:tcW w:w="452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42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r>
      <w:tr>
        <w:trPr>
          <w:trHeight w:val="230"/>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Imaging</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2,204</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2,171</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4,344</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4,233</w:t>
            </w:r>
          </w:p>
        </w:tc>
      </w:tr>
      <w:tr>
        <w:trPr>
          <w:trHeight w:val="228"/>
        </w:trPr>
        <w:tc>
          <w:tcPr>
            <w:tcW w:w="4520" w:type="dxa"/>
            <w:vAlign w:val="bottom"/>
          </w:tcPr>
          <w:p>
            <w:pPr>
              <w:ind w:left="20"/>
              <w:spacing w:after="0"/>
              <w:rPr>
                <w:sz w:val="20"/>
                <w:szCs w:val="20"/>
                <w:color w:val="auto"/>
              </w:rPr>
            </w:pPr>
            <w:r>
              <w:rPr>
                <w:rFonts w:ascii="Arial" w:cs="Arial" w:eastAsia="Arial" w:hAnsi="Arial"/>
                <w:sz w:val="16"/>
                <w:szCs w:val="16"/>
                <w:color w:val="auto"/>
              </w:rPr>
              <w:t>AVS: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9"/>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52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16"/>
                <w:szCs w:val="16"/>
                <w:color w:val="auto"/>
              </w:rPr>
              <w:t>Procedural Guidance</w:t>
            </w:r>
          </w:p>
        </w:tc>
        <w:tc>
          <w:tcPr>
            <w:tcW w:w="18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660</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668</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1,301</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1,319</w:t>
            </w:r>
          </w:p>
        </w:tc>
      </w:tr>
      <w:tr>
        <w:trPr>
          <w:trHeight w:val="228"/>
        </w:trPr>
        <w:tc>
          <w:tcPr>
            <w:tcW w:w="4520" w:type="dxa"/>
            <w:vAlign w:val="bottom"/>
          </w:tcPr>
          <w:p>
            <w:pPr>
              <w:ind w:left="180"/>
              <w:spacing w:after="0"/>
              <w:rPr>
                <w:sz w:val="20"/>
                <w:szCs w:val="20"/>
                <w:color w:val="auto"/>
              </w:rPr>
            </w:pPr>
            <w:r>
              <w:rPr>
                <w:rFonts w:ascii="Arial" w:cs="Arial" w:eastAsia="Arial" w:hAnsi="Arial"/>
                <w:sz w:val="16"/>
                <w:szCs w:val="16"/>
                <w:color w:val="auto"/>
              </w:rPr>
              <w:t>Specialized Ultrasound</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630</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1,228</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1,156</w:t>
            </w:r>
          </w:p>
        </w:tc>
      </w:tr>
      <w:tr>
        <w:trPr>
          <w:trHeight w:val="29"/>
        </w:trPr>
        <w:tc>
          <w:tcPr>
            <w:tcW w:w="4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AVS</w:t>
            </w:r>
          </w:p>
        </w:tc>
        <w:tc>
          <w:tcPr>
            <w:tcW w:w="18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1,289</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1,249</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2,529</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2,475</w:t>
            </w:r>
          </w:p>
        </w:tc>
      </w:tr>
      <w:tr>
        <w:trPr>
          <w:trHeight w:val="228"/>
        </w:trPr>
        <w:tc>
          <w:tcPr>
            <w:tcW w:w="4520" w:type="dxa"/>
            <w:vAlign w:val="bottom"/>
          </w:tcPr>
          <w:p>
            <w:pPr>
              <w:ind w:left="20"/>
              <w:spacing w:after="0"/>
              <w:rPr>
                <w:sz w:val="20"/>
                <w:szCs w:val="20"/>
                <w:color w:val="auto"/>
              </w:rPr>
            </w:pPr>
            <w:r>
              <w:rPr>
                <w:rFonts w:ascii="Arial" w:cs="Arial" w:eastAsia="Arial" w:hAnsi="Arial"/>
                <w:sz w:val="16"/>
                <w:szCs w:val="16"/>
                <w:color w:val="auto"/>
              </w:rPr>
              <w:t>PCS: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9"/>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52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16"/>
                <w:szCs w:val="16"/>
                <w:color w:val="auto"/>
              </w:rPr>
              <w:t>Monitoring Solutions</w:t>
            </w:r>
          </w:p>
        </w:tc>
        <w:tc>
          <w:tcPr>
            <w:tcW w:w="18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578</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538</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1,135</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1,065</w:t>
            </w:r>
          </w:p>
        </w:tc>
      </w:tr>
      <w:tr>
        <w:trPr>
          <w:trHeight w:val="228"/>
        </w:trPr>
        <w:tc>
          <w:tcPr>
            <w:tcW w:w="4520" w:type="dxa"/>
            <w:vAlign w:val="bottom"/>
          </w:tcPr>
          <w:p>
            <w:pPr>
              <w:ind w:left="180"/>
              <w:spacing w:after="0"/>
              <w:rPr>
                <w:sz w:val="20"/>
                <w:szCs w:val="20"/>
                <w:color w:val="auto"/>
              </w:rPr>
            </w:pPr>
            <w:r>
              <w:rPr>
                <w:rFonts w:ascii="Arial" w:cs="Arial" w:eastAsia="Arial" w:hAnsi="Arial"/>
                <w:sz w:val="16"/>
                <w:szCs w:val="16"/>
                <w:color w:val="auto"/>
              </w:rPr>
              <w:t>Life Support Solutions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200</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397</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29"/>
        </w:trPr>
        <w:tc>
          <w:tcPr>
            <w:tcW w:w="4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PCS</w:t>
            </w:r>
          </w:p>
        </w:tc>
        <w:tc>
          <w:tcPr>
            <w:tcW w:w="18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778</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772</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1,531</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1,519</w:t>
            </w:r>
          </w:p>
        </w:tc>
      </w:tr>
      <w:tr>
        <w:trPr>
          <w:trHeight w:val="235"/>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729</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639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1,362</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1,238</w:t>
            </w:r>
          </w:p>
        </w:tc>
      </w:tr>
      <w:tr>
        <w:trPr>
          <w:trHeight w:val="21"/>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6"/>
        </w:trPr>
        <w:tc>
          <w:tcPr>
            <w:tcW w:w="45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180" w:type="dxa"/>
            <w:vAlign w:val="bottom"/>
            <w:tcBorders>
              <w:bottom w:val="single" w:sz="8" w:color="auto"/>
            </w:tcBorders>
            <w:shd w:val="clear" w:color="auto" w:fill="E4E4E4"/>
          </w:tcPr>
          <w:p>
            <w:pPr>
              <w:spacing w:after="0"/>
              <w:rPr>
                <w:sz w:val="22"/>
                <w:szCs w:val="22"/>
                <w:color w:val="auto"/>
              </w:rPr>
            </w:pPr>
          </w:p>
        </w:tc>
        <w:tc>
          <w:tcPr>
            <w:tcW w:w="14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400" w:type="dxa"/>
            <w:vAlign w:val="bottom"/>
            <w:tcBorders>
              <w:bottom w:val="single" w:sz="8" w:color="auto"/>
            </w:tcBorders>
            <w:shd w:val="clear" w:color="auto" w:fill="E4E4E4"/>
          </w:tcPr>
          <w:p>
            <w:pPr>
              <w:spacing w:after="0"/>
              <w:rPr>
                <w:sz w:val="22"/>
                <w:szCs w:val="22"/>
                <w:color w:val="auto"/>
              </w:rPr>
            </w:pPr>
          </w:p>
        </w:tc>
        <w:tc>
          <w:tcPr>
            <w:tcW w:w="12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tcBorders>
              <w:bottom w:val="single" w:sz="8" w:color="auto"/>
            </w:tcBorders>
            <w:shd w:val="clear" w:color="auto" w:fill="E4E4E4"/>
          </w:tcPr>
          <w:p>
            <w:pPr>
              <w:spacing w:after="0"/>
              <w:rPr>
                <w:sz w:val="22"/>
                <w:szCs w:val="22"/>
                <w:color w:val="auto"/>
              </w:rPr>
            </w:pPr>
          </w:p>
        </w:tc>
        <w:tc>
          <w:tcPr>
            <w:tcW w:w="220" w:type="dxa"/>
            <w:vAlign w:val="bottom"/>
            <w:tcBorders>
              <w:bottom w:val="single" w:sz="8" w:color="auto"/>
            </w:tcBorders>
            <w:shd w:val="clear" w:color="auto" w:fill="E4E4E4"/>
          </w:tcPr>
          <w:p>
            <w:pPr>
              <w:spacing w:after="0"/>
              <w:rPr>
                <w:sz w:val="22"/>
                <w:szCs w:val="22"/>
                <w:color w:val="auto"/>
              </w:rPr>
            </w:pPr>
          </w:p>
        </w:tc>
        <w:tc>
          <w:tcPr>
            <w:tcW w:w="14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w:t>
            </w:r>
          </w:p>
        </w:tc>
        <w:tc>
          <w:tcPr>
            <w:tcW w:w="400" w:type="dxa"/>
            <w:vAlign w:val="bottom"/>
            <w:tcBorders>
              <w:bottom w:val="single" w:sz="8" w:color="auto"/>
            </w:tcBorders>
            <w:shd w:val="clear" w:color="auto" w:fill="E4E4E4"/>
          </w:tcPr>
          <w:p>
            <w:pPr>
              <w:spacing w:after="0"/>
              <w:rPr>
                <w:sz w:val="22"/>
                <w:szCs w:val="22"/>
                <w:color w:val="auto"/>
              </w:rPr>
            </w:pPr>
          </w:p>
        </w:tc>
        <w:tc>
          <w:tcPr>
            <w:tcW w:w="12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w:t>
            </w:r>
          </w:p>
        </w:tc>
      </w:tr>
      <w:tr>
        <w:trPr>
          <w:trHeight w:val="229"/>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5,007</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4,839</w:t>
            </w:r>
          </w:p>
        </w:tc>
        <w:tc>
          <w:tcPr>
            <w:tcW w:w="8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9,784</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9,489</w:t>
            </w:r>
          </w:p>
        </w:tc>
      </w:tr>
      <w:tr>
        <w:trPr>
          <w:trHeight w:val="21"/>
        </w:trPr>
        <w:tc>
          <w:tcPr>
            <w:tcW w:w="4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160" w:hanging="252"/>
        <w:spacing w:after="0" w:line="286"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HealthCare Financial Services (“HFS”) which does not meet the definition of an operating segment.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Significant Expenses by Segment</w:t>
            </w:r>
          </w:p>
        </w:tc>
        <w:tc>
          <w:tcPr>
            <w:tcW w:w="200" w:type="dxa"/>
            <w:vAlign w:val="bottom"/>
          </w:tcPr>
          <w:p>
            <w:pPr>
              <w:spacing w:after="0"/>
              <w:rPr>
                <w:sz w:val="19"/>
                <w:szCs w:val="19"/>
                <w:color w:val="auto"/>
              </w:rPr>
            </w:pPr>
          </w:p>
        </w:tc>
        <w:tc>
          <w:tcPr>
            <w:tcW w:w="3240" w:type="dxa"/>
            <w:vAlign w:val="bottom"/>
            <w:gridSpan w:val="4"/>
          </w:tcPr>
          <w:p>
            <w:pPr>
              <w:ind w:left="80"/>
              <w:spacing w:after="0"/>
              <w:rPr>
                <w:sz w:val="20"/>
                <w:szCs w:val="20"/>
                <w:color w:val="auto"/>
              </w:rPr>
            </w:pPr>
            <w:r>
              <w:rPr>
                <w:rFonts w:ascii="Arial" w:cs="Arial" w:eastAsia="Arial" w:hAnsi="Arial"/>
                <w:sz w:val="16"/>
                <w:szCs w:val="16"/>
                <w:b w:val="1"/>
                <w:bCs w:val="1"/>
                <w:color w:val="454545"/>
              </w:rPr>
              <w:t>For the three months ended June 30</w:t>
            </w:r>
          </w:p>
        </w:tc>
        <w:tc>
          <w:tcPr>
            <w:tcW w:w="240" w:type="dxa"/>
            <w:vAlign w:val="bottom"/>
          </w:tcPr>
          <w:p>
            <w:pPr>
              <w:spacing w:after="0"/>
              <w:rPr>
                <w:sz w:val="19"/>
                <w:szCs w:val="19"/>
                <w:color w:val="auto"/>
              </w:rPr>
            </w:pPr>
          </w:p>
        </w:tc>
        <w:tc>
          <w:tcPr>
            <w:tcW w:w="312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444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40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c>
          <w:tcPr>
            <w:tcW w:w="40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2025</w:t>
            </w:r>
          </w:p>
        </w:tc>
        <w:tc>
          <w:tcPr>
            <w:tcW w:w="42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2024</w:t>
            </w:r>
          </w:p>
        </w:tc>
      </w:tr>
      <w:tr>
        <w:trPr>
          <w:trHeight w:val="21"/>
        </w:trPr>
        <w:tc>
          <w:tcPr>
            <w:tcW w:w="444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40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r>
      <w:tr>
        <w:trPr>
          <w:trHeight w:val="230"/>
        </w:trPr>
        <w:tc>
          <w:tcPr>
            <w:tcW w:w="4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spacing w:after="0"/>
              <w:rPr>
                <w:sz w:val="20"/>
                <w:szCs w:val="20"/>
                <w:color w:val="auto"/>
              </w:rPr>
            </w:pPr>
          </w:p>
        </w:tc>
      </w:tr>
      <w:tr>
        <w:trPr>
          <w:trHeight w:val="228"/>
        </w:trPr>
        <w:tc>
          <w:tcPr>
            <w:tcW w:w="444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1,470</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1,393</w:t>
            </w:r>
          </w:p>
        </w:tc>
        <w:tc>
          <w:tcPr>
            <w:tcW w:w="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2,823</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2,731</w:t>
            </w:r>
          </w:p>
        </w:tc>
      </w:tr>
      <w:tr>
        <w:trPr>
          <w:trHeight w:val="29"/>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444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E4E4E4"/>
          </w:tcPr>
          <w:p>
            <w:pPr>
              <w:spacing w:after="0"/>
              <w:rPr>
                <w:sz w:val="22"/>
                <w:szCs w:val="22"/>
                <w:color w:val="auto"/>
              </w:rPr>
            </w:pPr>
          </w:p>
        </w:tc>
        <w:tc>
          <w:tcPr>
            <w:tcW w:w="14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546</w:t>
            </w:r>
          </w:p>
        </w:tc>
        <w:tc>
          <w:tcPr>
            <w:tcW w:w="400" w:type="dxa"/>
            <w:vAlign w:val="bottom"/>
            <w:tcBorders>
              <w:bottom w:val="single" w:sz="8" w:color="auto"/>
            </w:tcBorders>
            <w:shd w:val="clear" w:color="auto" w:fill="E4E4E4"/>
          </w:tcPr>
          <w:p>
            <w:pPr>
              <w:spacing w:after="0"/>
              <w:rPr>
                <w:sz w:val="22"/>
                <w:szCs w:val="22"/>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569</w:t>
            </w:r>
          </w:p>
        </w:tc>
        <w:tc>
          <w:tcPr>
            <w:tcW w:w="80" w:type="dxa"/>
            <w:vAlign w:val="bottom"/>
            <w:tcBorders>
              <w:bottom w:val="single" w:sz="8" w:color="auto"/>
            </w:tcBorders>
            <w:shd w:val="clear" w:color="auto" w:fill="E4E4E4"/>
          </w:tcPr>
          <w:p>
            <w:pPr>
              <w:spacing w:after="0"/>
              <w:rPr>
                <w:sz w:val="22"/>
                <w:szCs w:val="22"/>
                <w:color w:val="auto"/>
              </w:rPr>
            </w:pPr>
          </w:p>
        </w:tc>
        <w:tc>
          <w:tcPr>
            <w:tcW w:w="240" w:type="dxa"/>
            <w:vAlign w:val="bottom"/>
            <w:tcBorders>
              <w:bottom w:val="single" w:sz="8" w:color="auto"/>
            </w:tcBorders>
            <w:shd w:val="clear" w:color="auto" w:fill="E4E4E4"/>
          </w:tcPr>
          <w:p>
            <w:pPr>
              <w:spacing w:after="0"/>
              <w:rPr>
                <w:sz w:val="22"/>
                <w:szCs w:val="22"/>
                <w:color w:val="auto"/>
              </w:rPr>
            </w:pPr>
          </w:p>
        </w:tc>
        <w:tc>
          <w:tcPr>
            <w:tcW w:w="14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1,135</w:t>
            </w:r>
          </w:p>
        </w:tc>
        <w:tc>
          <w:tcPr>
            <w:tcW w:w="420" w:type="dxa"/>
            <w:vAlign w:val="bottom"/>
            <w:tcBorders>
              <w:bottom w:val="single" w:sz="8" w:color="auto"/>
            </w:tcBorders>
            <w:shd w:val="clear" w:color="auto" w:fill="E4E4E4"/>
          </w:tcPr>
          <w:p>
            <w:pPr>
              <w:spacing w:after="0"/>
              <w:rPr>
                <w:sz w:val="22"/>
                <w:szCs w:val="22"/>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1,129</w:t>
            </w:r>
          </w:p>
        </w:tc>
      </w:tr>
      <w:tr>
        <w:trPr>
          <w:trHeight w:val="229"/>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Total Imaging</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1,963</w:t>
            </w:r>
          </w:p>
        </w:tc>
        <w:tc>
          <w:tcPr>
            <w:tcW w:w="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3,957</w:t>
            </w:r>
          </w:p>
        </w:tc>
        <w:tc>
          <w:tcPr>
            <w:tcW w:w="4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3,860</w:t>
            </w:r>
          </w:p>
        </w:tc>
      </w:tr>
      <w:tr>
        <w:trPr>
          <w:trHeight w:val="21"/>
        </w:trPr>
        <w:tc>
          <w:tcPr>
            <w:tcW w:w="4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4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AVS:</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spacing w:after="0"/>
              <w:rPr>
                <w:sz w:val="20"/>
                <w:szCs w:val="20"/>
                <w:color w:val="auto"/>
              </w:rPr>
            </w:pPr>
          </w:p>
        </w:tc>
      </w:tr>
      <w:tr>
        <w:trPr>
          <w:trHeight w:val="228"/>
        </w:trPr>
        <w:tc>
          <w:tcPr>
            <w:tcW w:w="444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637</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611</w:t>
            </w:r>
          </w:p>
        </w:tc>
        <w:tc>
          <w:tcPr>
            <w:tcW w:w="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1,235</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1,209</w:t>
            </w:r>
          </w:p>
        </w:tc>
      </w:tr>
      <w:tr>
        <w:trPr>
          <w:trHeight w:val="29"/>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444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E4E4E4"/>
          </w:tcPr>
          <w:p>
            <w:pPr>
              <w:spacing w:after="0"/>
              <w:rPr>
                <w:sz w:val="22"/>
                <w:szCs w:val="22"/>
                <w:color w:val="auto"/>
              </w:rPr>
            </w:pPr>
          </w:p>
        </w:tc>
        <w:tc>
          <w:tcPr>
            <w:tcW w:w="14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386</w:t>
            </w:r>
          </w:p>
        </w:tc>
        <w:tc>
          <w:tcPr>
            <w:tcW w:w="400" w:type="dxa"/>
            <w:vAlign w:val="bottom"/>
            <w:tcBorders>
              <w:bottom w:val="single" w:sz="8" w:color="auto"/>
            </w:tcBorders>
            <w:shd w:val="clear" w:color="auto" w:fill="E4E4E4"/>
          </w:tcPr>
          <w:p>
            <w:pPr>
              <w:spacing w:after="0"/>
              <w:rPr>
                <w:sz w:val="22"/>
                <w:szCs w:val="22"/>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382</w:t>
            </w:r>
          </w:p>
        </w:tc>
        <w:tc>
          <w:tcPr>
            <w:tcW w:w="80" w:type="dxa"/>
            <w:vAlign w:val="bottom"/>
            <w:tcBorders>
              <w:bottom w:val="single" w:sz="8" w:color="auto"/>
            </w:tcBorders>
            <w:shd w:val="clear" w:color="auto" w:fill="E4E4E4"/>
          </w:tcPr>
          <w:p>
            <w:pPr>
              <w:spacing w:after="0"/>
              <w:rPr>
                <w:sz w:val="22"/>
                <w:szCs w:val="22"/>
                <w:color w:val="auto"/>
              </w:rPr>
            </w:pPr>
          </w:p>
        </w:tc>
        <w:tc>
          <w:tcPr>
            <w:tcW w:w="240" w:type="dxa"/>
            <w:vAlign w:val="bottom"/>
            <w:tcBorders>
              <w:bottom w:val="single" w:sz="8" w:color="auto"/>
            </w:tcBorders>
            <w:shd w:val="clear" w:color="auto" w:fill="E4E4E4"/>
          </w:tcPr>
          <w:p>
            <w:pPr>
              <w:spacing w:after="0"/>
              <w:rPr>
                <w:sz w:val="22"/>
                <w:szCs w:val="22"/>
                <w:color w:val="auto"/>
              </w:rPr>
            </w:pPr>
          </w:p>
        </w:tc>
        <w:tc>
          <w:tcPr>
            <w:tcW w:w="14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766</w:t>
            </w:r>
          </w:p>
        </w:tc>
        <w:tc>
          <w:tcPr>
            <w:tcW w:w="420" w:type="dxa"/>
            <w:vAlign w:val="bottom"/>
            <w:tcBorders>
              <w:bottom w:val="single" w:sz="8" w:color="auto"/>
            </w:tcBorders>
            <w:shd w:val="clear" w:color="auto" w:fill="E4E4E4"/>
          </w:tcPr>
          <w:p>
            <w:pPr>
              <w:spacing w:after="0"/>
              <w:rPr>
                <w:sz w:val="22"/>
                <w:szCs w:val="22"/>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754</w:t>
            </w:r>
          </w:p>
        </w:tc>
      </w:tr>
      <w:tr>
        <w:trPr>
          <w:trHeight w:val="229"/>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Total AVS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1,022</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993</w:t>
            </w:r>
          </w:p>
        </w:tc>
        <w:tc>
          <w:tcPr>
            <w:tcW w:w="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2,001</w:t>
            </w:r>
          </w:p>
        </w:tc>
        <w:tc>
          <w:tcPr>
            <w:tcW w:w="4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1,963</w:t>
            </w:r>
          </w:p>
        </w:tc>
      </w:tr>
      <w:tr>
        <w:trPr>
          <w:trHeight w:val="21"/>
        </w:trPr>
        <w:tc>
          <w:tcPr>
            <w:tcW w:w="4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4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spacing w:after="0"/>
              <w:rPr>
                <w:sz w:val="20"/>
                <w:szCs w:val="20"/>
                <w:color w:val="auto"/>
              </w:rPr>
            </w:pPr>
          </w:p>
        </w:tc>
      </w:tr>
      <w:tr>
        <w:trPr>
          <w:trHeight w:val="228"/>
        </w:trPr>
        <w:tc>
          <w:tcPr>
            <w:tcW w:w="444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507</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480</w:t>
            </w:r>
          </w:p>
        </w:tc>
        <w:tc>
          <w:tcPr>
            <w:tcW w:w="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988</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939</w:t>
            </w:r>
          </w:p>
        </w:tc>
      </w:tr>
      <w:tr>
        <w:trPr>
          <w:trHeight w:val="29"/>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6"/>
        </w:trPr>
        <w:tc>
          <w:tcPr>
            <w:tcW w:w="444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E4E4E4"/>
          </w:tcPr>
          <w:p>
            <w:pPr>
              <w:spacing w:after="0"/>
              <w:rPr>
                <w:sz w:val="22"/>
                <w:szCs w:val="22"/>
                <w:color w:val="auto"/>
              </w:rPr>
            </w:pPr>
          </w:p>
        </w:tc>
        <w:tc>
          <w:tcPr>
            <w:tcW w:w="14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212</w:t>
            </w:r>
          </w:p>
        </w:tc>
        <w:tc>
          <w:tcPr>
            <w:tcW w:w="400" w:type="dxa"/>
            <w:vAlign w:val="bottom"/>
            <w:tcBorders>
              <w:bottom w:val="single" w:sz="8" w:color="auto"/>
            </w:tcBorders>
            <w:shd w:val="clear" w:color="auto" w:fill="E4E4E4"/>
          </w:tcPr>
          <w:p>
            <w:pPr>
              <w:spacing w:after="0"/>
              <w:rPr>
                <w:sz w:val="22"/>
                <w:szCs w:val="22"/>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215</w:t>
            </w:r>
          </w:p>
        </w:tc>
        <w:tc>
          <w:tcPr>
            <w:tcW w:w="80" w:type="dxa"/>
            <w:vAlign w:val="bottom"/>
            <w:tcBorders>
              <w:bottom w:val="single" w:sz="8" w:color="auto"/>
            </w:tcBorders>
            <w:shd w:val="clear" w:color="auto" w:fill="E4E4E4"/>
          </w:tcPr>
          <w:p>
            <w:pPr>
              <w:spacing w:after="0"/>
              <w:rPr>
                <w:sz w:val="22"/>
                <w:szCs w:val="22"/>
                <w:color w:val="auto"/>
              </w:rPr>
            </w:pPr>
          </w:p>
        </w:tc>
        <w:tc>
          <w:tcPr>
            <w:tcW w:w="240" w:type="dxa"/>
            <w:vAlign w:val="bottom"/>
            <w:tcBorders>
              <w:bottom w:val="single" w:sz="8" w:color="auto"/>
            </w:tcBorders>
            <w:shd w:val="clear" w:color="auto" w:fill="E4E4E4"/>
          </w:tcPr>
          <w:p>
            <w:pPr>
              <w:spacing w:after="0"/>
              <w:rPr>
                <w:sz w:val="22"/>
                <w:szCs w:val="22"/>
                <w:color w:val="auto"/>
              </w:rPr>
            </w:pPr>
          </w:p>
        </w:tc>
        <w:tc>
          <w:tcPr>
            <w:tcW w:w="14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436</w:t>
            </w:r>
          </w:p>
        </w:tc>
        <w:tc>
          <w:tcPr>
            <w:tcW w:w="420" w:type="dxa"/>
            <w:vAlign w:val="bottom"/>
            <w:tcBorders>
              <w:bottom w:val="single" w:sz="8" w:color="auto"/>
            </w:tcBorders>
            <w:shd w:val="clear" w:color="auto" w:fill="E4E4E4"/>
          </w:tcPr>
          <w:p>
            <w:pPr>
              <w:spacing w:after="0"/>
              <w:rPr>
                <w:sz w:val="22"/>
                <w:szCs w:val="22"/>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421</w:t>
            </w:r>
          </w:p>
        </w:tc>
      </w:tr>
      <w:tr>
        <w:trPr>
          <w:trHeight w:val="229"/>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Total PCS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719</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694</w:t>
            </w:r>
          </w:p>
        </w:tc>
        <w:tc>
          <w:tcPr>
            <w:tcW w:w="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1,423</w:t>
            </w:r>
          </w:p>
        </w:tc>
        <w:tc>
          <w:tcPr>
            <w:tcW w:w="4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1,360</w:t>
            </w:r>
          </w:p>
        </w:tc>
      </w:tr>
      <w:tr>
        <w:trPr>
          <w:trHeight w:val="21"/>
        </w:trPr>
        <w:tc>
          <w:tcPr>
            <w:tcW w:w="4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4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PDx:</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spacing w:after="0"/>
              <w:rPr>
                <w:sz w:val="20"/>
                <w:szCs w:val="20"/>
                <w:color w:val="auto"/>
              </w:rPr>
            </w:pPr>
          </w:p>
        </w:tc>
      </w:tr>
      <w:tr>
        <w:trPr>
          <w:trHeight w:val="228"/>
        </w:trPr>
        <w:tc>
          <w:tcPr>
            <w:tcW w:w="444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371</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314</w:t>
            </w:r>
          </w:p>
        </w:tc>
        <w:tc>
          <w:tcPr>
            <w:tcW w:w="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666</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609</w:t>
            </w:r>
          </w:p>
        </w:tc>
      </w:tr>
      <w:tr>
        <w:trPr>
          <w:trHeight w:val="29"/>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6"/>
        </w:trPr>
        <w:tc>
          <w:tcPr>
            <w:tcW w:w="444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E4E4E4"/>
          </w:tcPr>
          <w:p>
            <w:pPr>
              <w:spacing w:after="0"/>
              <w:rPr>
                <w:sz w:val="22"/>
                <w:szCs w:val="22"/>
                <w:color w:val="auto"/>
              </w:rPr>
            </w:pPr>
          </w:p>
        </w:tc>
        <w:tc>
          <w:tcPr>
            <w:tcW w:w="14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144</w:t>
            </w:r>
          </w:p>
        </w:tc>
        <w:tc>
          <w:tcPr>
            <w:tcW w:w="400" w:type="dxa"/>
            <w:vAlign w:val="bottom"/>
            <w:tcBorders>
              <w:bottom w:val="single" w:sz="8" w:color="auto"/>
            </w:tcBorders>
            <w:shd w:val="clear" w:color="auto" w:fill="E4E4E4"/>
          </w:tcPr>
          <w:p>
            <w:pPr>
              <w:spacing w:after="0"/>
              <w:rPr>
                <w:sz w:val="22"/>
                <w:szCs w:val="22"/>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125</w:t>
            </w:r>
          </w:p>
        </w:tc>
        <w:tc>
          <w:tcPr>
            <w:tcW w:w="80" w:type="dxa"/>
            <w:vAlign w:val="bottom"/>
            <w:tcBorders>
              <w:bottom w:val="single" w:sz="8" w:color="auto"/>
            </w:tcBorders>
            <w:shd w:val="clear" w:color="auto" w:fill="E4E4E4"/>
          </w:tcPr>
          <w:p>
            <w:pPr>
              <w:spacing w:after="0"/>
              <w:rPr>
                <w:sz w:val="22"/>
                <w:szCs w:val="22"/>
                <w:color w:val="auto"/>
              </w:rPr>
            </w:pPr>
          </w:p>
        </w:tc>
        <w:tc>
          <w:tcPr>
            <w:tcW w:w="240" w:type="dxa"/>
            <w:vAlign w:val="bottom"/>
            <w:tcBorders>
              <w:bottom w:val="single" w:sz="8" w:color="auto"/>
            </w:tcBorders>
            <w:shd w:val="clear" w:color="auto" w:fill="E4E4E4"/>
          </w:tcPr>
          <w:p>
            <w:pPr>
              <w:spacing w:after="0"/>
              <w:rPr>
                <w:sz w:val="22"/>
                <w:szCs w:val="22"/>
                <w:color w:val="auto"/>
              </w:rPr>
            </w:pPr>
          </w:p>
        </w:tc>
        <w:tc>
          <w:tcPr>
            <w:tcW w:w="14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278</w:t>
            </w:r>
          </w:p>
        </w:tc>
        <w:tc>
          <w:tcPr>
            <w:tcW w:w="420" w:type="dxa"/>
            <w:vAlign w:val="bottom"/>
            <w:tcBorders>
              <w:bottom w:val="single" w:sz="8" w:color="auto"/>
            </w:tcBorders>
            <w:shd w:val="clear" w:color="auto" w:fill="E4E4E4"/>
          </w:tcPr>
          <w:p>
            <w:pPr>
              <w:spacing w:after="0"/>
              <w:rPr>
                <w:sz w:val="22"/>
                <w:szCs w:val="22"/>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251</w:t>
            </w:r>
          </w:p>
        </w:tc>
      </w:tr>
      <w:tr>
        <w:trPr>
          <w:trHeight w:val="229"/>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516</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439</w:t>
            </w:r>
          </w:p>
        </w:tc>
        <w:tc>
          <w:tcPr>
            <w:tcW w:w="8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943</w:t>
            </w:r>
          </w:p>
        </w:tc>
        <w:tc>
          <w:tcPr>
            <w:tcW w:w="42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860</w:t>
            </w:r>
          </w:p>
        </w:tc>
      </w:tr>
      <w:tr>
        <w:trPr>
          <w:trHeight w:val="21"/>
        </w:trPr>
        <w:tc>
          <w:tcPr>
            <w:tcW w:w="4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120" w:hanging="252"/>
        <w:spacing w:after="0" w:line="304"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segment items for each segment includes selling, general, administrative, research, and development related expenses, as well as other segment income and expenses.</w:t>
      </w:r>
    </w:p>
    <w:p>
      <w:pPr>
        <w:sectPr>
          <w:pgSz w:w="11900" w:h="16838" w:orient="portrait"/>
          <w:cols w:equalWidth="0" w:num="1">
            <w:col w:w="11240"/>
          </w:cols>
          <w:pgMar w:left="320" w:top="130" w:right="339" w:bottom="7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768"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140" w:type="dxa"/>
            <w:vAlign w:val="bottom"/>
          </w:tcPr>
          <w:p>
            <w:pPr>
              <w:spacing w:after="0"/>
              <w:rPr>
                <w:sz w:val="19"/>
                <w:szCs w:val="19"/>
                <w:color w:val="auto"/>
              </w:rPr>
            </w:pPr>
          </w:p>
        </w:tc>
        <w:tc>
          <w:tcPr>
            <w:tcW w:w="3080" w:type="dxa"/>
            <w:vAlign w:val="bottom"/>
            <w:gridSpan w:val="4"/>
          </w:tcPr>
          <w:p>
            <w:pPr>
              <w:ind w:left="40"/>
              <w:spacing w:after="0"/>
              <w:rPr>
                <w:sz w:val="20"/>
                <w:szCs w:val="20"/>
                <w:color w:val="auto"/>
              </w:rPr>
            </w:pPr>
            <w:r>
              <w:rPr>
                <w:rFonts w:ascii="Arial" w:cs="Arial" w:eastAsia="Arial" w:hAnsi="Arial"/>
                <w:sz w:val="16"/>
                <w:szCs w:val="16"/>
                <w:b w:val="1"/>
                <w:bCs w:val="1"/>
                <w:color w:val="454545"/>
              </w:rPr>
              <w:t>For the three months ended June 30</w:t>
            </w:r>
          </w:p>
        </w:tc>
        <w:tc>
          <w:tcPr>
            <w:tcW w:w="180" w:type="dxa"/>
            <w:vAlign w:val="bottom"/>
          </w:tcPr>
          <w:p>
            <w:pPr>
              <w:spacing w:after="0"/>
              <w:rPr>
                <w:sz w:val="19"/>
                <w:szCs w:val="19"/>
                <w:color w:val="auto"/>
              </w:rPr>
            </w:pPr>
          </w:p>
        </w:tc>
        <w:tc>
          <w:tcPr>
            <w:tcW w:w="298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486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40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r>
      <w:tr>
        <w:trPr>
          <w:trHeight w:val="229"/>
        </w:trPr>
        <w:tc>
          <w:tcPr>
            <w:tcW w:w="4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2025</w:t>
            </w:r>
          </w:p>
        </w:tc>
        <w:tc>
          <w:tcPr>
            <w:tcW w:w="36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2025</w:t>
            </w:r>
          </w:p>
        </w:tc>
        <w:tc>
          <w:tcPr>
            <w:tcW w:w="36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2024</w:t>
            </w:r>
          </w:p>
        </w:tc>
      </w:tr>
      <w:tr>
        <w:trPr>
          <w:trHeight w:val="21"/>
        </w:trPr>
        <w:tc>
          <w:tcPr>
            <w:tcW w:w="486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42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40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r>
      <w:tr>
        <w:trPr>
          <w:trHeight w:val="230"/>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Segment EBIT</w:t>
            </w:r>
          </w:p>
        </w:tc>
        <w:tc>
          <w:tcPr>
            <w:tcW w:w="14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r>
      <w:tr>
        <w:trPr>
          <w:trHeight w:val="228"/>
        </w:trPr>
        <w:tc>
          <w:tcPr>
            <w:tcW w:w="4860" w:type="dxa"/>
            <w:vAlign w:val="bottom"/>
          </w:tcPr>
          <w:p>
            <w:pPr>
              <w:ind w:left="140"/>
              <w:spacing w:after="0"/>
              <w:rPr>
                <w:sz w:val="20"/>
                <w:szCs w:val="20"/>
                <w:color w:val="auto"/>
              </w:rPr>
            </w:pPr>
            <w:r>
              <w:rPr>
                <w:rFonts w:ascii="Arial" w:cs="Arial" w:eastAsia="Arial" w:hAnsi="Arial"/>
                <w:sz w:val="16"/>
                <w:szCs w:val="16"/>
                <w:color w:val="auto"/>
              </w:rPr>
              <w:t>Imaging</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188</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387</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9"/>
        </w:trPr>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8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AVS</w:t>
            </w:r>
          </w:p>
        </w:tc>
        <w:tc>
          <w:tcPr>
            <w:tcW w:w="14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267</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255</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528</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512</w:t>
            </w:r>
          </w:p>
        </w:tc>
      </w:tr>
      <w:tr>
        <w:trPr>
          <w:trHeight w:val="227"/>
        </w:trPr>
        <w:tc>
          <w:tcPr>
            <w:tcW w:w="4860" w:type="dxa"/>
            <w:vAlign w:val="bottom"/>
          </w:tcPr>
          <w:p>
            <w:pPr>
              <w:ind w:left="140"/>
              <w:spacing w:after="0"/>
              <w:rPr>
                <w:sz w:val="20"/>
                <w:szCs w:val="20"/>
                <w:color w:val="auto"/>
              </w:rPr>
            </w:pPr>
            <w:r>
              <w:rPr>
                <w:rFonts w:ascii="Arial" w:cs="Arial" w:eastAsia="Arial" w:hAnsi="Arial"/>
                <w:sz w:val="16"/>
                <w:szCs w:val="16"/>
                <w:color w:val="auto"/>
              </w:rPr>
              <w:t>PCS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108</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9"/>
        </w:trPr>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48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PDx</w:t>
            </w:r>
          </w:p>
        </w:tc>
        <w:tc>
          <w:tcPr>
            <w:tcW w:w="14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213</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418</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378</w:t>
            </w:r>
          </w:p>
        </w:tc>
      </w:tr>
      <w:tr>
        <w:trPr>
          <w:trHeight w:val="25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86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729</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742</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1,443</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1,423</w:t>
            </w:r>
          </w:p>
        </w:tc>
      </w:tr>
      <w:tr>
        <w:trPr>
          <w:trHeight w:val="228"/>
        </w:trPr>
        <w:tc>
          <w:tcPr>
            <w:tcW w:w="486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9"/>
        </w:trPr>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Acquisition and disposition-related benefits (charges)</w:t>
            </w:r>
          </w:p>
        </w:tc>
        <w:tc>
          <w:tcPr>
            <w:tcW w:w="14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27"/>
        </w:trPr>
        <w:tc>
          <w:tcPr>
            <w:tcW w:w="4860" w:type="dxa"/>
            <w:vAlign w:val="bottom"/>
          </w:tcPr>
          <w:p>
            <w:pPr>
              <w:ind w:left="20"/>
              <w:spacing w:after="0"/>
              <w:rPr>
                <w:sz w:val="20"/>
                <w:szCs w:val="20"/>
                <w:color w:val="auto"/>
              </w:rPr>
            </w:pPr>
            <w:r>
              <w:rPr>
                <w:rFonts w:ascii="Arial" w:cs="Arial" w:eastAsia="Arial" w:hAnsi="Arial"/>
                <w:sz w:val="16"/>
                <w:szCs w:val="16"/>
                <w:color w:val="auto"/>
              </w:rPr>
              <w:t>Gain (loss) on business and asset dispositions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Spin-Off and separation costs</w:t>
            </w:r>
          </w:p>
        </w:tc>
        <w:tc>
          <w:tcPr>
            <w:tcW w:w="14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(67)</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(126)</w:t>
            </w:r>
          </w:p>
        </w:tc>
      </w:tr>
      <w:tr>
        <w:trPr>
          <w:trHeight w:val="228"/>
        </w:trPr>
        <w:tc>
          <w:tcPr>
            <w:tcW w:w="4860" w:type="dxa"/>
            <w:vAlign w:val="bottom"/>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9"/>
        </w:trPr>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revaluation gain (loss)</w:t>
            </w:r>
          </w:p>
        </w:tc>
        <w:tc>
          <w:tcPr>
            <w:tcW w:w="14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r>
      <w:tr>
        <w:trPr>
          <w:trHeight w:val="227"/>
        </w:trPr>
        <w:tc>
          <w:tcPr>
            <w:tcW w:w="4860" w:type="dxa"/>
            <w:vAlign w:val="bottom"/>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(113)</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(224)</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29"/>
        </w:trPr>
        <w:tc>
          <w:tcPr>
            <w:tcW w:w="4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1"/>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Non-operating benefit income (costs)</w:t>
            </w:r>
          </w:p>
        </w:tc>
        <w:tc>
          <w:tcPr>
            <w:tcW w:w="140" w:type="dxa"/>
            <w:vAlign w:val="bottom"/>
            <w:tcBorders>
              <w:bottom w:val="single" w:sz="8" w:color="E4E4E4"/>
            </w:tcBorders>
            <w:shd w:val="clear" w:color="auto" w:fill="E4E4E4"/>
          </w:tcPr>
          <w:p>
            <w:pPr>
              <w:spacing w:after="0"/>
              <w:rPr>
                <w:sz w:val="22"/>
                <w:szCs w:val="22"/>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73</w:t>
            </w:r>
          </w:p>
        </w:tc>
        <w:tc>
          <w:tcPr>
            <w:tcW w:w="3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101</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148</w:t>
            </w:r>
          </w:p>
        </w:tc>
        <w:tc>
          <w:tcPr>
            <w:tcW w:w="3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204</w:t>
            </w:r>
          </w:p>
        </w:tc>
      </w:tr>
      <w:tr>
        <w:trPr>
          <w:trHeight w:val="229"/>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613</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578</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1,304</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1,090</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140" w:hanging="252"/>
        <w:spacing w:after="0" w:line="286"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primarily represents HFS which does not meet the definition of an operating segment.</w:t>
      </w:r>
    </w:p>
    <w:p>
      <w:pPr>
        <w:spacing w:after="0" w:line="19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following table represents the depreciation and amortization amounts reported within the Segment EBIT metric for our reportable segments. Depreciation and amortization expense related to shared property, plant, and equipment and intangibles, exclusive of acquisition-related intangible assets, has been fully allocated to our segments and those allocations are reflected in the amounts presented in the table below. These amounts are included within Cost of sales and Other segment items disclosed in the Significant Expenses by Segment table above.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Depreciation and Amortization by Segment</w:t>
            </w:r>
          </w:p>
        </w:tc>
        <w:tc>
          <w:tcPr>
            <w:tcW w:w="200" w:type="dxa"/>
            <w:vAlign w:val="bottom"/>
          </w:tcPr>
          <w:p>
            <w:pPr>
              <w:spacing w:after="0"/>
              <w:rPr>
                <w:sz w:val="19"/>
                <w:szCs w:val="19"/>
                <w:color w:val="auto"/>
              </w:rPr>
            </w:pPr>
          </w:p>
        </w:tc>
        <w:tc>
          <w:tcPr>
            <w:tcW w:w="3240" w:type="dxa"/>
            <w:vAlign w:val="bottom"/>
            <w:gridSpan w:val="4"/>
          </w:tcPr>
          <w:p>
            <w:pPr>
              <w:ind w:left="80"/>
              <w:spacing w:after="0"/>
              <w:rPr>
                <w:sz w:val="20"/>
                <w:szCs w:val="20"/>
                <w:color w:val="auto"/>
              </w:rPr>
            </w:pPr>
            <w:r>
              <w:rPr>
                <w:rFonts w:ascii="Arial" w:cs="Arial" w:eastAsia="Arial" w:hAnsi="Arial"/>
                <w:sz w:val="16"/>
                <w:szCs w:val="16"/>
                <w:b w:val="1"/>
                <w:bCs w:val="1"/>
                <w:color w:val="454545"/>
              </w:rPr>
              <w:t>For the three months ended June 30</w:t>
            </w:r>
          </w:p>
        </w:tc>
        <w:tc>
          <w:tcPr>
            <w:tcW w:w="220" w:type="dxa"/>
            <w:vAlign w:val="bottom"/>
          </w:tcPr>
          <w:p>
            <w:pPr>
              <w:spacing w:after="0"/>
              <w:rPr>
                <w:sz w:val="19"/>
                <w:szCs w:val="19"/>
                <w:color w:val="auto"/>
              </w:rPr>
            </w:pPr>
          </w:p>
        </w:tc>
        <w:tc>
          <w:tcPr>
            <w:tcW w:w="312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446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4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c>
          <w:tcPr>
            <w:tcW w:w="40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c>
          <w:tcPr>
            <w:tcW w:w="40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2024</w:t>
            </w:r>
          </w:p>
        </w:tc>
      </w:tr>
      <w:tr>
        <w:trPr>
          <w:trHeight w:val="21"/>
        </w:trPr>
        <w:tc>
          <w:tcPr>
            <w:tcW w:w="44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42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r>
      <w:tr>
        <w:trPr>
          <w:trHeight w:val="230"/>
        </w:trPr>
        <w:tc>
          <w:tcPr>
            <w:tcW w:w="4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128</w:t>
            </w:r>
          </w:p>
        </w:tc>
      </w:tr>
      <w:tr>
        <w:trPr>
          <w:trHeight w:val="228"/>
        </w:trPr>
        <w:tc>
          <w:tcPr>
            <w:tcW w:w="4460" w:type="dxa"/>
            <w:vAlign w:val="bottom"/>
          </w:tcPr>
          <w:p>
            <w:pPr>
              <w:ind w:left="20"/>
              <w:spacing w:after="0"/>
              <w:rPr>
                <w:sz w:val="20"/>
                <w:szCs w:val="20"/>
                <w:color w:val="auto"/>
              </w:rPr>
            </w:pPr>
            <w:r>
              <w:rPr>
                <w:rFonts w:ascii="Arial" w:cs="Arial" w:eastAsia="Arial" w:hAnsi="Arial"/>
                <w:sz w:val="16"/>
                <w:szCs w:val="16"/>
                <w:color w:val="auto"/>
              </w:rPr>
              <w:t>AVS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9"/>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20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r>
      <w:tr>
        <w:trPr>
          <w:trHeight w:val="228"/>
        </w:trPr>
        <w:tc>
          <w:tcPr>
            <w:tcW w:w="4460" w:type="dxa"/>
            <w:vAlign w:val="bottom"/>
          </w:tcPr>
          <w:p>
            <w:pPr>
              <w:ind w:left="20"/>
              <w:spacing w:after="0"/>
              <w:rPr>
                <w:sz w:val="20"/>
                <w:szCs w:val="20"/>
                <w:color w:val="auto"/>
              </w:rPr>
            </w:pPr>
            <w:r>
              <w:rPr>
                <w:rFonts w:ascii="Arial" w:cs="Arial" w:eastAsia="Arial" w:hAnsi="Arial"/>
                <w:sz w:val="16"/>
                <w:szCs w:val="16"/>
                <w:color w:val="auto"/>
              </w:rPr>
              <w:t>PDx</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9"/>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The Company does not report total assets by segment as the Company’s CODM does not assess performance, make strategic decisions, or allocate resources based on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RECEIVABLES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Current Receivables</w:t>
            </w:r>
          </w:p>
        </w:tc>
        <w:tc>
          <w:tcPr>
            <w:tcW w:w="28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ind w:right="379"/>
              <w:spacing w:after="0"/>
              <w:rPr>
                <w:sz w:val="20"/>
                <w:szCs w:val="20"/>
                <w:color w:val="auto"/>
              </w:rPr>
            </w:pPr>
            <w:r>
              <w:rPr>
                <w:rFonts w:ascii="Arial" w:cs="Arial" w:eastAsia="Arial" w:hAnsi="Arial"/>
                <w:sz w:val="16"/>
                <w:szCs w:val="16"/>
                <w:b w:val="1"/>
                <w:bCs w:val="1"/>
                <w:color w:val="454545"/>
              </w:rPr>
              <w:t>June 30, 2025</w:t>
            </w:r>
          </w:p>
        </w:tc>
        <w:tc>
          <w:tcPr>
            <w:tcW w:w="240" w:type="dxa"/>
            <w:vAlign w:val="bottom"/>
          </w:tcPr>
          <w:p>
            <w:pPr>
              <w:spacing w:after="0"/>
              <w:rPr>
                <w:sz w:val="19"/>
                <w:szCs w:val="19"/>
                <w:color w:val="auto"/>
              </w:rPr>
            </w:pPr>
          </w:p>
        </w:tc>
        <w:tc>
          <w:tcPr>
            <w:tcW w:w="174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6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50"/>
        </w:trPr>
        <w:tc>
          <w:tcPr>
            <w:tcW w:w="73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customer receivables</w:t>
            </w:r>
            <w:r>
              <w:rPr>
                <w:rFonts w:ascii="Arial" w:cs="Arial" w:eastAsia="Arial" w:hAnsi="Arial"/>
                <w:sz w:val="21"/>
                <w:szCs w:val="21"/>
                <w:b w:val="1"/>
                <w:bCs w:val="1"/>
                <w:color w:val="auto"/>
                <w:vertAlign w:val="superscript"/>
              </w:rPr>
              <w:t>(1)</w:t>
            </w:r>
          </w:p>
        </w:tc>
        <w:tc>
          <w:tcPr>
            <w:tcW w:w="280" w:type="dxa"/>
            <w:vAlign w:val="bottom"/>
            <w:tcBorders>
              <w:bottom w:val="single" w:sz="8" w:color="auto"/>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auto"/>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3,337</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3,382</w:t>
            </w:r>
          </w:p>
        </w:tc>
      </w:tr>
      <w:tr>
        <w:trPr>
          <w:trHeight w:val="221"/>
        </w:trPr>
        <w:tc>
          <w:tcPr>
            <w:tcW w:w="7300" w:type="dxa"/>
            <w:vAlign w:val="bottom"/>
          </w:tcPr>
          <w:p>
            <w:pPr>
              <w:ind w:left="20"/>
              <w:spacing w:after="0"/>
              <w:rPr>
                <w:sz w:val="20"/>
                <w:szCs w:val="20"/>
                <w:color w:val="auto"/>
              </w:rPr>
            </w:pPr>
            <w:r>
              <w:rPr>
                <w:rFonts w:ascii="Arial" w:cs="Arial" w:eastAsia="Arial" w:hAnsi="Arial"/>
                <w:sz w:val="16"/>
                <w:szCs w:val="16"/>
                <w:color w:val="auto"/>
              </w:rPr>
              <w:t>Non-income based tax receivables</w:t>
            </w:r>
          </w:p>
        </w:tc>
        <w:tc>
          <w:tcPr>
            <w:tcW w:w="28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9"/>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280" w:type="dxa"/>
            <w:vAlign w:val="bottom"/>
            <w:tcBorders>
              <w:bottom w:val="single" w:sz="8" w:color="E4E4E4"/>
            </w:tcBorders>
            <w:shd w:val="clear" w:color="auto" w:fill="E4E4E4"/>
          </w:tcPr>
          <w:p>
            <w:pPr>
              <w:spacing w:after="0"/>
              <w:rPr>
                <w:sz w:val="22"/>
                <w:szCs w:val="22"/>
                <w:color w:val="auto"/>
              </w:rPr>
            </w:pPr>
          </w:p>
        </w:tc>
        <w:tc>
          <w:tcPr>
            <w:tcW w:w="16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165</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133</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sundry receivables</w:t>
            </w:r>
          </w:p>
        </w:tc>
        <w:tc>
          <w:tcPr>
            <w:tcW w:w="2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332</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287</w:t>
            </w:r>
          </w:p>
        </w:tc>
      </w:tr>
      <w:tr>
        <w:trPr>
          <w:trHeight w:val="21"/>
        </w:trPr>
        <w:tc>
          <w:tcPr>
            <w:tcW w:w="7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280" w:type="dxa"/>
            <w:vAlign w:val="bottom"/>
            <w:tcBorders>
              <w:bottom w:val="single" w:sz="8" w:color="E4E4E4"/>
            </w:tcBorders>
            <w:shd w:val="clear" w:color="auto" w:fill="E4E4E4"/>
          </w:tcPr>
          <w:p>
            <w:pPr>
              <w:spacing w:after="0"/>
              <w:rPr>
                <w:sz w:val="22"/>
                <w:szCs w:val="22"/>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(107)</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current receivables – net</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3,562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3,566</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100" w:hanging="252"/>
        <w:spacing w:after="0" w:line="275" w:lineRule="auto"/>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Chargebacks, which are primarily related to our PDx business, are generally settled through issuance of credits, typically within one month of initial recognition, and are recorded as a reduction to Current customer receivables. Balances related to chargebacks were $133 million and $153 million as of June 30, 2025 and December 31, 2024, respectively.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Long-Term Receivables</w:t>
            </w:r>
          </w:p>
        </w:tc>
        <w:tc>
          <w:tcPr>
            <w:tcW w:w="15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454545"/>
              </w:rPr>
              <w:t>June 30, 2025</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5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55"/>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Long-term customer receivables</w:t>
            </w:r>
          </w:p>
        </w:tc>
        <w:tc>
          <w:tcPr>
            <w:tcW w:w="1560" w:type="dxa"/>
            <w:vAlign w:val="bottom"/>
            <w:tcBorders>
              <w:bottom w:val="single" w:sz="8" w:color="E4E4E4"/>
            </w:tcBorders>
            <w:shd w:val="clear" w:color="auto" w:fill="E4E4E4"/>
          </w:tcPr>
          <w:p>
            <w:pPr>
              <w:jc w:val="right"/>
              <w:ind w:right="137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86</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59</w:t>
            </w:r>
          </w:p>
        </w:tc>
      </w:tr>
      <w:tr>
        <w:trPr>
          <w:trHeight w:val="221"/>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Non-income based tax receivables</w:t>
            </w:r>
          </w:p>
        </w:tc>
        <w:tc>
          <w:tcPr>
            <w:tcW w:w="15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9"/>
        </w:trPr>
        <w:tc>
          <w:tcPr>
            <w:tcW w:w="7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1560" w:type="dxa"/>
            <w:vAlign w:val="bottom"/>
            <w:tcBorders>
              <w:bottom w:val="single" w:sz="8" w:color="E4E4E4"/>
            </w:tcBorders>
            <w:shd w:val="clear" w:color="auto" w:fill="E4E4E4"/>
          </w:tcPr>
          <w:p>
            <w:pPr>
              <w:spacing w:after="0"/>
              <w:rPr>
                <w:sz w:val="22"/>
                <w:szCs w:val="22"/>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88</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68</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Long-term sundry receivables</w:t>
            </w:r>
          </w:p>
        </w:tc>
        <w:tc>
          <w:tcPr>
            <w:tcW w:w="15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88</w:t>
            </w:r>
          </w:p>
        </w:tc>
      </w:tr>
      <w:tr>
        <w:trPr>
          <w:trHeight w:val="21"/>
        </w:trPr>
        <w:tc>
          <w:tcPr>
            <w:tcW w:w="7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560" w:type="dxa"/>
            <w:vAlign w:val="bottom"/>
            <w:tcBorders>
              <w:bottom w:val="single" w:sz="8" w:color="E4E4E4"/>
            </w:tcBorders>
            <w:shd w:val="clear" w:color="auto" w:fill="E4E4E4"/>
          </w:tcPr>
          <w:p>
            <w:pPr>
              <w:spacing w:after="0"/>
              <w:rPr>
                <w:sz w:val="22"/>
                <w:szCs w:val="22"/>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long-term receivables – net</w:t>
            </w:r>
          </w:p>
        </w:tc>
        <w:tc>
          <w:tcPr>
            <w:tcW w:w="1560" w:type="dxa"/>
            <w:vAlign w:val="bottom"/>
            <w:tcBorders>
              <w:top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142</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Long-term receivables are recognized within All other non-current assets in the Condensed Consolidated Statements of Financial Position.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FINANCING RECEIVABLES</w:t>
      </w:r>
    </w:p>
    <w:p>
      <w:pPr>
        <w:spacing w:after="0" w:line="257" w:lineRule="exact"/>
        <w:rPr>
          <w:sz w:val="20"/>
          <w:szCs w:val="20"/>
          <w:color w:val="auto"/>
        </w:rPr>
      </w:pPr>
    </w:p>
    <w:p>
      <w:pPr>
        <w:ind w:right="720"/>
        <w:spacing w:after="0" w:line="299" w:lineRule="auto"/>
        <w:rPr>
          <w:sz w:val="20"/>
          <w:szCs w:val="20"/>
          <w:color w:val="auto"/>
        </w:rPr>
      </w:pPr>
      <w:r>
        <w:rPr>
          <w:rFonts w:ascii="Arial" w:cs="Arial" w:eastAsia="Arial" w:hAnsi="Arial"/>
          <w:sz w:val="16"/>
          <w:szCs w:val="16"/>
          <w:color w:val="auto"/>
        </w:rPr>
        <w:t>Current financing receivables and non-current financing receivables are recognized within All other current assets and All other non-current assets, respectively, in the Condensed Consolidated Statements of Financial Position.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454545"/>
              </w:rPr>
              <w:t>June 30, 2025</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5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receivable, at amortized cost</w:t>
            </w:r>
          </w:p>
        </w:tc>
        <w:tc>
          <w:tcPr>
            <w:tcW w:w="1560" w:type="dxa"/>
            <w:vAlign w:val="bottom"/>
            <w:tcBorders>
              <w:bottom w:val="single" w:sz="8" w:color="E4E4E4"/>
            </w:tcBorders>
            <w:shd w:val="clear" w:color="auto" w:fill="E4E4E4"/>
          </w:tcPr>
          <w:p>
            <w:pPr>
              <w:jc w:val="right"/>
              <w:ind w:right="13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finance leases, net of deferred income</w:t>
            </w:r>
          </w:p>
        </w:tc>
        <w:tc>
          <w:tcPr>
            <w:tcW w:w="15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79</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9"/>
        </w:trPr>
        <w:tc>
          <w:tcPr>
            <w:tcW w:w="7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560" w:type="dxa"/>
            <w:vAlign w:val="bottom"/>
            <w:tcBorders>
              <w:bottom w:val="single" w:sz="8" w:color="E4E4E4"/>
            </w:tcBorders>
            <w:shd w:val="clear" w:color="auto" w:fill="E4E4E4"/>
          </w:tcPr>
          <w:p>
            <w:pPr>
              <w:spacing w:after="0"/>
              <w:rPr>
                <w:sz w:val="22"/>
                <w:szCs w:val="22"/>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financing receivables – net</w:t>
            </w:r>
          </w:p>
        </w:tc>
        <w:tc>
          <w:tcPr>
            <w:tcW w:w="1560" w:type="dxa"/>
            <w:vAlign w:val="bottom"/>
            <w:tcBorders>
              <w:top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6"/>
        </w:trPr>
        <w:tc>
          <w:tcPr>
            <w:tcW w:w="7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7"/>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receivable, at amortized cost</w:t>
            </w:r>
          </w:p>
        </w:tc>
        <w:tc>
          <w:tcPr>
            <w:tcW w:w="1560" w:type="dxa"/>
            <w:vAlign w:val="bottom"/>
            <w:tcBorders>
              <w:bottom w:val="single" w:sz="8" w:color="E4E4E4"/>
            </w:tcBorders>
            <w:shd w:val="clear" w:color="auto" w:fill="E4E4E4"/>
          </w:tcPr>
          <w:p>
            <w:pPr>
              <w:jc w:val="right"/>
              <w:ind w:right="13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finance leases, net of deferred income</w:t>
            </w:r>
          </w:p>
        </w:tc>
        <w:tc>
          <w:tcPr>
            <w:tcW w:w="15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156</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9"/>
        </w:trPr>
        <w:tc>
          <w:tcPr>
            <w:tcW w:w="7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560" w:type="dxa"/>
            <w:vAlign w:val="bottom"/>
            <w:tcBorders>
              <w:bottom w:val="single" w:sz="8" w:color="E4E4E4"/>
            </w:tcBorders>
            <w:shd w:val="clear" w:color="auto" w:fill="E4E4E4"/>
          </w:tcPr>
          <w:p>
            <w:pPr>
              <w:spacing w:after="0"/>
              <w:rPr>
                <w:sz w:val="22"/>
                <w:szCs w:val="22"/>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Non-current financing receivables – net</w:t>
            </w:r>
          </w:p>
        </w:tc>
        <w:tc>
          <w:tcPr>
            <w:tcW w:w="1560" w:type="dxa"/>
            <w:vAlign w:val="bottom"/>
            <w:tcBorders>
              <w:top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183</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 of June 30, 2025, 2%, 2%, and 2% of financing receivables were over 30 days past due, over 90 days past due, and on nonaccrual, respectively, with the majority of nonaccrual financing receivables secured by collateral. As of December 31, 2024, 4%, 4%, and 3% of financing receivables were over 30 days past due, over 90 days past due, and on nonaccrual, respectively, with the majority of nonaccrual financing receivables secured by collateral.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7"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Operating lease liabilities recognized within All other current liabilities and All other non-current liabilities in the Condensed Consolidated Statements of Financial Position were $398 million and $385 million as of June 30, 2025 and December 31, 2024, respectively. The total lease expense related to our operating lease portfolio was $60 million and $59 million for the three months ended June 30, 2025 and 2024, respectively, and $122 million and $119 million for the six months ended June 30, 2025 and 2024,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 GOODWILL, AND OTHER INTANGIBLE ASSETS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Nihon Medi-Physics</w:t>
      </w:r>
    </w:p>
    <w:p>
      <w:pPr>
        <w:spacing w:after="0" w:line="19"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auto"/>
        </w:rPr>
        <w:t>On March 31, 2025, the Company acquired the remaining 50% interest in Nihon Medi-Physics Co., Ltd. (“NMP”) from joint venture partner Sumitomo Chemical for net cash consideration of $271 million. NMP is a leading pharmaceutical manufacturer in Japan, focused on radiopharmaceuticals, which are used to enable clinical images across neurology, cardiology, and oncology procedures, as well as nonclinical and clinical development of radiotracers and theranostics research. Their product portfolio includes several GE HealthCare radiopharmaceuticals. NMP is included in the Company’s PDx segment.</w:t>
      </w:r>
    </w:p>
    <w:p>
      <w:pPr>
        <w:spacing w:after="0" w:line="138"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On March 31, 2025, the fair value of the Company’s existing 50% interest in NMP was determined to be $301 million based on the cash consideration exchanged for acquiring the remaining 50% equity interest. The carrying value of our 50% interest was $204 million. The Company recognized a net gain of $97 million resulting from this remeasurement to fair value. This gain included the reclassification of certain amounts related to the Company’s 50% interest out of Accumulated other comprehensive income (loss) – net (“AOCI”) including foreign currency translation gains of $63 million and losses related to a defined benefit pension plan of $8 million. The net gain from this remeasurement was recorded in Other (income) expense – net in the Company’s Condensed Consolidated Statements of Income for the six months ended June 30, 2025.</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purchase price consideration transferred for the acquisition of NMP.</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60" w:type="dxa"/>
            <w:vAlign w:val="bottom"/>
          </w:tcPr>
          <w:p>
            <w:pPr>
              <w:jc w:val="right"/>
              <w:ind w:right="179"/>
              <w:spacing w:after="0"/>
              <w:rPr>
                <w:sz w:val="20"/>
                <w:szCs w:val="20"/>
                <w:color w:val="auto"/>
              </w:rPr>
            </w:pPr>
            <w:r>
              <w:rPr>
                <w:rFonts w:ascii="Arial" w:cs="Arial" w:eastAsia="Arial" w:hAnsi="Arial"/>
                <w:sz w:val="16"/>
                <w:szCs w:val="16"/>
                <w:b w:val="1"/>
                <w:bCs w:val="1"/>
                <w:color w:val="454545"/>
              </w:rPr>
              <w:t>Purchase consideration</w:t>
            </w:r>
          </w:p>
        </w:tc>
      </w:tr>
      <w:tr>
        <w:trPr>
          <w:trHeight w:val="21"/>
        </w:trPr>
        <w:tc>
          <w:tcPr>
            <w:tcW w:w="876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2160" w:type="dxa"/>
            <w:vAlign w:val="bottom"/>
            <w:tcBorders>
              <w:bottom w:val="single" w:sz="8" w:color="6022A6"/>
            </w:tcBorders>
          </w:tcPr>
          <w:p>
            <w:pPr>
              <w:spacing w:after="0" w:line="20" w:lineRule="exact"/>
              <w:rPr>
                <w:sz w:val="1"/>
                <w:szCs w:val="1"/>
                <w:color w:val="auto"/>
              </w:rPr>
            </w:pPr>
          </w:p>
        </w:tc>
      </w:tr>
      <w:tr>
        <w:trPr>
          <w:trHeight w:val="230"/>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consideration, net of cash acquired</w:t>
            </w:r>
          </w:p>
        </w:tc>
        <w:tc>
          <w:tcPr>
            <w:tcW w:w="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271</w:t>
            </w:r>
          </w:p>
        </w:tc>
      </w:tr>
      <w:tr>
        <w:trPr>
          <w:trHeight w:val="228"/>
        </w:trPr>
        <w:tc>
          <w:tcPr>
            <w:tcW w:w="8760" w:type="dxa"/>
            <w:vAlign w:val="bottom"/>
          </w:tcPr>
          <w:p>
            <w:pPr>
              <w:ind w:left="20"/>
              <w:spacing w:after="0"/>
              <w:rPr>
                <w:sz w:val="20"/>
                <w:szCs w:val="20"/>
                <w:color w:val="auto"/>
              </w:rPr>
            </w:pPr>
            <w:r>
              <w:rPr>
                <w:rFonts w:ascii="Arial" w:cs="Arial" w:eastAsia="Arial" w:hAnsi="Arial"/>
                <w:sz w:val="16"/>
                <w:szCs w:val="16"/>
                <w:color w:val="auto"/>
              </w:rPr>
              <w:t>Fair value of previously held interest in NMP</w:t>
            </w:r>
          </w:p>
        </w:tc>
        <w:tc>
          <w:tcPr>
            <w:tcW w:w="3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9"/>
        </w:trPr>
        <w:tc>
          <w:tcPr>
            <w:tcW w:w="8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61"/>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Fair value of contingent consideration</w:t>
            </w:r>
          </w:p>
        </w:tc>
        <w:tc>
          <w:tcPr>
            <w:tcW w:w="320" w:type="dxa"/>
            <w:vAlign w:val="bottom"/>
            <w:tcBorders>
              <w:bottom w:val="single" w:sz="8" w:color="E4E4E4"/>
            </w:tcBorders>
            <w:shd w:val="clear" w:color="auto" w:fill="E4E4E4"/>
          </w:tcPr>
          <w:p>
            <w:pPr>
              <w:spacing w:after="0"/>
              <w:rPr>
                <w:sz w:val="22"/>
                <w:szCs w:val="22"/>
                <w:color w:val="auto"/>
              </w:rPr>
            </w:pP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87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allocable purchase price</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577</w:t>
            </w:r>
          </w:p>
        </w:tc>
      </w:tr>
      <w:tr>
        <w:trPr>
          <w:trHeight w:val="21"/>
        </w:trPr>
        <w:tc>
          <w:tcPr>
            <w:tcW w:w="8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532"/>
        </w:trPr>
        <w:tc>
          <w:tcPr>
            <w:tcW w:w="8760" w:type="dxa"/>
            <w:vAlign w:val="bottom"/>
          </w:tcPr>
          <w:p>
            <w:pPr>
              <w:spacing w:after="0"/>
              <w:rPr>
                <w:sz w:val="20"/>
                <w:szCs w:val="20"/>
                <w:color w:val="auto"/>
              </w:rPr>
            </w:pPr>
            <w:r>
              <w:rPr>
                <w:rFonts w:ascii="Arial" w:cs="Arial" w:eastAsia="Arial" w:hAnsi="Arial"/>
                <w:sz w:val="16"/>
                <w:szCs w:val="16"/>
                <w:color w:val="auto"/>
              </w:rPr>
              <w:t>The preliminary fair values of the assets and liabilities assumed in connection with the acquisition of NMP are as follows.</w:t>
            </w: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65"/>
        </w:trPr>
        <w:tc>
          <w:tcPr>
            <w:tcW w:w="8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60" w:type="dxa"/>
            <w:vAlign w:val="bottom"/>
          </w:tcPr>
          <w:p>
            <w:pPr>
              <w:jc w:val="right"/>
              <w:ind w:right="259"/>
              <w:spacing w:after="0"/>
              <w:rPr>
                <w:sz w:val="20"/>
                <w:szCs w:val="20"/>
                <w:color w:val="auto"/>
              </w:rPr>
            </w:pPr>
            <w:r>
              <w:rPr>
                <w:rFonts w:ascii="Arial" w:cs="Arial" w:eastAsia="Arial" w:hAnsi="Arial"/>
                <w:sz w:val="16"/>
                <w:szCs w:val="16"/>
                <w:b w:val="1"/>
                <w:bCs w:val="1"/>
                <w:color w:val="454545"/>
              </w:rPr>
              <w:t>Preliminary allocation</w:t>
            </w:r>
          </w:p>
        </w:tc>
      </w:tr>
      <w:tr>
        <w:trPr>
          <w:trHeight w:val="21"/>
        </w:trPr>
        <w:tc>
          <w:tcPr>
            <w:tcW w:w="876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2160" w:type="dxa"/>
            <w:vAlign w:val="bottom"/>
            <w:tcBorders>
              <w:bottom w:val="single" w:sz="8" w:color="6022A6"/>
            </w:tcBorders>
          </w:tcPr>
          <w:p>
            <w:pPr>
              <w:spacing w:after="0" w:line="20" w:lineRule="exact"/>
              <w:rPr>
                <w:sz w:val="1"/>
                <w:szCs w:val="1"/>
                <w:color w:val="auto"/>
              </w:rPr>
            </w:pPr>
          </w:p>
        </w:tc>
      </w:tr>
      <w:tr>
        <w:trPr>
          <w:trHeight w:val="230"/>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Receivables</w:t>
            </w:r>
          </w:p>
        </w:tc>
        <w:tc>
          <w:tcPr>
            <w:tcW w:w="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w:t>
            </w:r>
          </w:p>
        </w:tc>
      </w:tr>
      <w:tr>
        <w:trPr>
          <w:trHeight w:val="227"/>
        </w:trPr>
        <w:tc>
          <w:tcPr>
            <w:tcW w:w="876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8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6"/>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Property, plant, and equipment</w:t>
            </w:r>
          </w:p>
        </w:tc>
        <w:tc>
          <w:tcPr>
            <w:tcW w:w="320" w:type="dxa"/>
            <w:vAlign w:val="bottom"/>
            <w:tcBorders>
              <w:bottom w:val="single" w:sz="8" w:color="E4E4E4"/>
            </w:tcBorders>
            <w:shd w:val="clear" w:color="auto" w:fill="E4E4E4"/>
          </w:tcPr>
          <w:p>
            <w:pPr>
              <w:spacing w:after="0"/>
              <w:rPr>
                <w:sz w:val="20"/>
                <w:szCs w:val="20"/>
                <w:color w:val="auto"/>
              </w:rPr>
            </w:pP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244</w:t>
            </w:r>
          </w:p>
        </w:tc>
      </w:tr>
      <w:tr>
        <w:trPr>
          <w:trHeight w:val="228"/>
        </w:trPr>
        <w:tc>
          <w:tcPr>
            <w:tcW w:w="8760" w:type="dxa"/>
            <w:vAlign w:val="bottom"/>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9"/>
        </w:trPr>
        <w:tc>
          <w:tcPr>
            <w:tcW w:w="8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intangible assets</w:t>
            </w:r>
          </w:p>
        </w:tc>
        <w:tc>
          <w:tcPr>
            <w:tcW w:w="320" w:type="dxa"/>
            <w:vAlign w:val="bottom"/>
            <w:tcBorders>
              <w:bottom w:val="single" w:sz="8" w:color="E4E4E4"/>
            </w:tcBorders>
            <w:shd w:val="clear" w:color="auto" w:fill="E4E4E4"/>
          </w:tcPr>
          <w:p>
            <w:pPr>
              <w:spacing w:after="0"/>
              <w:rPr>
                <w:sz w:val="20"/>
                <w:szCs w:val="20"/>
                <w:color w:val="auto"/>
              </w:rPr>
            </w:pP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238</w:t>
            </w:r>
          </w:p>
        </w:tc>
      </w:tr>
      <w:tr>
        <w:trPr>
          <w:trHeight w:val="257"/>
        </w:trPr>
        <w:tc>
          <w:tcPr>
            <w:tcW w:w="8760" w:type="dxa"/>
            <w:vAlign w:val="bottom"/>
          </w:tcPr>
          <w:p>
            <w:pPr>
              <w:ind w:left="20"/>
              <w:spacing w:after="0"/>
              <w:rPr>
                <w:sz w:val="20"/>
                <w:szCs w:val="20"/>
                <w:color w:val="auto"/>
              </w:rPr>
            </w:pPr>
            <w:r>
              <w:rPr>
                <w:rFonts w:ascii="Arial" w:cs="Arial" w:eastAsia="Arial" w:hAnsi="Arial"/>
                <w:sz w:val="16"/>
                <w:szCs w:val="16"/>
                <w:color w:val="auto"/>
              </w:rPr>
              <w:t>All other non-current assets</w:t>
            </w:r>
            <w:r>
              <w:rPr>
                <w:rFonts w:ascii="Arial" w:cs="Arial" w:eastAsia="Arial" w:hAnsi="Arial"/>
                <w:sz w:val="21"/>
                <w:szCs w:val="21"/>
                <w:color w:val="auto"/>
                <w:vertAlign w:val="superscript"/>
              </w:rPr>
              <w:t>(1)</w:t>
            </w:r>
          </w:p>
        </w:tc>
        <w:tc>
          <w:tcPr>
            <w:tcW w:w="32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36"/>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E4E4E4"/>
            </w:tcBorders>
            <w:shd w:val="clear" w:color="auto" w:fill="E4E4E4"/>
          </w:tcPr>
          <w:p>
            <w:pPr>
              <w:spacing w:after="0"/>
              <w:rPr>
                <w:sz w:val="20"/>
                <w:szCs w:val="20"/>
                <w:color w:val="auto"/>
              </w:rPr>
            </w:pP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w:t>
            </w:r>
          </w:p>
        </w:tc>
      </w:tr>
      <w:tr>
        <w:trPr>
          <w:trHeight w:val="228"/>
        </w:trPr>
        <w:tc>
          <w:tcPr>
            <w:tcW w:w="8760" w:type="dxa"/>
            <w:vAlign w:val="bottom"/>
          </w:tcPr>
          <w:p>
            <w:pPr>
              <w:ind w:left="20"/>
              <w:spacing w:after="0"/>
              <w:rPr>
                <w:sz w:val="20"/>
                <w:szCs w:val="20"/>
                <w:color w:val="auto"/>
              </w:rPr>
            </w:pPr>
            <w:r>
              <w:rPr>
                <w:rFonts w:ascii="Arial" w:cs="Arial" w:eastAsia="Arial" w:hAnsi="Arial"/>
                <w:sz w:val="16"/>
                <w:szCs w:val="16"/>
                <w:color w:val="auto"/>
              </w:rPr>
              <w:t>All other non-current liabilities</w:t>
            </w:r>
          </w:p>
        </w:tc>
        <w:tc>
          <w:tcPr>
            <w:tcW w:w="3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9"/>
        </w:trPr>
        <w:tc>
          <w:tcPr>
            <w:tcW w:w="8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7"/>
        </w:trPr>
        <w:tc>
          <w:tcPr>
            <w:tcW w:w="87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E4E4E4"/>
          </w:tcPr>
          <w:p>
            <w:pPr>
              <w:spacing w:after="0"/>
              <w:rPr>
                <w:sz w:val="22"/>
                <w:szCs w:val="22"/>
                <w:color w:val="auto"/>
              </w:rPr>
            </w:pPr>
          </w:p>
        </w:tc>
        <w:tc>
          <w:tcPr>
            <w:tcW w:w="2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(28)</w:t>
            </w:r>
          </w:p>
        </w:tc>
      </w:tr>
      <w:tr>
        <w:trPr>
          <w:trHeight w:val="229"/>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Total net assets post acquisition</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577</w:t>
            </w:r>
          </w:p>
        </w:tc>
      </w:tr>
      <w:tr>
        <w:trPr>
          <w:trHeight w:val="21"/>
        </w:trPr>
        <w:tc>
          <w:tcPr>
            <w:tcW w:w="8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400" w:hanging="252"/>
        <w:spacing w:after="0" w:line="256" w:lineRule="auto"/>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other non-current assets includes $12 million of indemnification assets, with the underlying indemnified liabilities recorded in All other non-current liabilities.</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includes Accounts payable, All other current liabilities, and Current compensation and benefits.</w:t>
      </w:r>
    </w:p>
    <w:p>
      <w:pPr>
        <w:spacing w:after="0" w:line="24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allocation of purchase price of NMP to the tangible and intangible assets acquired and liabilities assumed, as reflected in the table above, is based on the Company’s preliminary allocations of their fair values. Measurement period adjustments during the three months ended June 30, 2025 included changes to the purchase price allocation, resulting in a net decrease of approximately $8 million to goodwill. The measurement period adjustments resulted primarily from adjustments to acquired intangibles based on facts and circumstances that existed as of the acquisition date. While all amounts remain subject to adjustments, the areas subject to the most significant potential adjustments are decommissioning liabilities and deferred income taxes. The Company’s management believes the fair values recognized for the assets acquired and the liabilities assumed are based on reasonable estimates and assumptions.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mostly comprised of land, buildings, equipment (including machinery, furniture, and fixtures) and construction in process.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property, plant, and equipment was determined using a market participant approach.</w:t>
      </w:r>
    </w:p>
    <w:p>
      <w:pPr>
        <w:spacing w:after="0" w:line="23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Other intangibles relate to $235 million of definite-lived intangible assets and $3 million of acquired in-process research and development (“IPR&amp;D”). Definite-lived intangible assets consist primarily of developed product market authorization rights and customer relationships. The acquired definite-lived intangibles are being amortized over a weighted-average estimated useful life of approximately 13 years. The estimated fair value of intangibles was determined using the income approach, which is a valuation technique that provides an estimate of the fair value of an asset based on market participant expectations of cash flows an asset would generate over its useful life.</w:t>
      </w:r>
    </w:p>
    <w:p>
      <w:pPr>
        <w:spacing w:after="0" w:line="20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goodwill associated with NMP, recorded within the PDx segment, is non-deductible for tax purposes and is attributed to expected synergies with NMP’s existing assets and workforce that are expected to allow the Company greater access and growth in the Japan market.</w:t>
      </w:r>
    </w:p>
    <w:p>
      <w:pPr>
        <w:spacing w:after="0" w:line="196"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Included in All other non-current liabilities are asset retirement obligations and decommissioning liabilities of $96 million, which were assumed in the transaction.</w:t>
      </w:r>
    </w:p>
    <w:p>
      <w:pPr>
        <w:spacing w:after="0" w:line="183"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NMP has a defined benefit pension plan which has pension assets of $71 million and pension liabilities of $33 million, a net asset of $38 million, which we acquired in the transaction and is included in All other non-current assets.</w:t>
      </w:r>
    </w:p>
    <w:p>
      <w:pPr>
        <w:spacing w:after="0" w:line="16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Deferred income tax liabilities include the expected U.S. federal, state, and foreign tax consequences associated with temporary differences between the preliminary fair values of the assets acquired and liabilities assumed and the respective tax basis.</w:t>
      </w:r>
    </w:p>
    <w:p>
      <w:pPr>
        <w:spacing w:after="0" w:line="196"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If the acquisition of NMP had taken place as of the beginning of 2024, consolidated revenues and earnings would not have been significantly different than reported amounts.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MIM Software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On April 1, 2024, the Company acquired 100% of the stock of MIM Software Inc. (“MIM Software”) for approximately $259 million, net of cash acquired of</w:t>
      </w:r>
    </w:p>
    <w:p>
      <w:pPr>
        <w:spacing w:after="0" w:line="1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$11 million, and potential contingent payments valued at $13 million pertaining to achievement of certain milestones, for a total preliminary purchase price of $283 million. The acquisition included up to $23 million of other contingent payments based on service requirements. The acquisition was funded with cash on hand. This transaction was accounted for as a business combination. The purchase price allocation, which was finalized in the first quarter of 2025 without material adjustments, resulted in goodwill of $189 million, customer-related intangible assets of $52 million, developed technology intangible assets of $48 million, net deferred tax liabilities of $13 million, and other net assets of $7 million. The goodwill associated with the acquired business, recorded within the Imaging segment, is non-deductible for tax purposes and is attributed to expected synergies and commercial benefits from use of the MIM Software technology in our existing GE HealthCare portfolio. MIM Software is a global provider of medical imaging analysis and artificial intelligence (“AI”) solutions for the practice of radiation oncology, molecular radiotherapy, diagnostic imaging, and urology at imaging centers, hospitals, specialty clinics, and research organizations worldwide.</w:t>
      </w:r>
    </w:p>
    <w:p>
      <w:pPr>
        <w:spacing w:after="0" w:line="206"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If the acquisition of MIM Software had taken place as of the beginning of 2023, consolidated revenues and earnings would not have been significantly different from reported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spacing w:after="0"/>
              <w:rPr>
                <w:sz w:val="20"/>
                <w:szCs w:val="20"/>
                <w:color w:val="auto"/>
              </w:rPr>
            </w:pPr>
            <w:r>
              <w:rPr>
                <w:rFonts w:ascii="Arial" w:cs="Arial" w:eastAsia="Arial" w:hAnsi="Arial"/>
                <w:sz w:val="16"/>
                <w:szCs w:val="16"/>
                <w:b w:val="1"/>
                <w:bCs w:val="1"/>
                <w:color w:val="auto"/>
              </w:rPr>
              <w:t>GOODWILL.</w:t>
            </w: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37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60" w:type="dxa"/>
            <w:vAlign w:val="bottom"/>
          </w:tcPr>
          <w:p>
            <w:pPr>
              <w:jc w:val="right"/>
              <w:ind w:right="239"/>
              <w:spacing w:after="0"/>
              <w:rPr>
                <w:sz w:val="20"/>
                <w:szCs w:val="20"/>
                <w:color w:val="auto"/>
              </w:rPr>
            </w:pPr>
            <w:r>
              <w:rPr>
                <w:rFonts w:ascii="Arial" w:cs="Arial" w:eastAsia="Arial" w:hAnsi="Arial"/>
                <w:sz w:val="16"/>
                <w:szCs w:val="16"/>
                <w:b w:val="1"/>
                <w:bCs w:val="1"/>
                <w:color w:val="454545"/>
              </w:rPr>
              <w:t>Imaging</w:t>
            </w:r>
          </w:p>
        </w:tc>
        <w:tc>
          <w:tcPr>
            <w:tcW w:w="320" w:type="dxa"/>
            <w:vAlign w:val="bottom"/>
          </w:tcPr>
          <w:p>
            <w:pPr>
              <w:spacing w:after="0"/>
              <w:rPr>
                <w:sz w:val="21"/>
                <w:szCs w:val="21"/>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454545"/>
              </w:rPr>
              <w:t>AVS</w:t>
            </w:r>
          </w:p>
        </w:tc>
        <w:tc>
          <w:tcPr>
            <w:tcW w:w="320" w:type="dxa"/>
            <w:vAlign w:val="bottom"/>
          </w:tcPr>
          <w:p>
            <w:pPr>
              <w:spacing w:after="0"/>
              <w:rPr>
                <w:sz w:val="21"/>
                <w:szCs w:val="21"/>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454545"/>
              </w:rPr>
              <w:t>PCS</w:t>
            </w:r>
          </w:p>
        </w:tc>
        <w:tc>
          <w:tcPr>
            <w:tcW w:w="320" w:type="dxa"/>
            <w:vAlign w:val="bottom"/>
          </w:tcPr>
          <w:p>
            <w:pPr>
              <w:spacing w:after="0"/>
              <w:rPr>
                <w:sz w:val="21"/>
                <w:szCs w:val="21"/>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454545"/>
              </w:rPr>
              <w:t>PDx</w:t>
            </w:r>
          </w:p>
        </w:tc>
        <w:tc>
          <w:tcPr>
            <w:tcW w:w="320" w:type="dxa"/>
            <w:vAlign w:val="bottom"/>
          </w:tcPr>
          <w:p>
            <w:pPr>
              <w:spacing w:after="0"/>
              <w:rPr>
                <w:sz w:val="21"/>
                <w:szCs w:val="21"/>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2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r>
      <w:tr>
        <w:trPr>
          <w:trHeight w:val="230"/>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2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3,581</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4,987</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2,035</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2,533</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13,136</w:t>
            </w:r>
          </w:p>
        </w:tc>
      </w:tr>
      <w:tr>
        <w:trPr>
          <w:trHeight w:val="257"/>
        </w:trPr>
        <w:tc>
          <w:tcPr>
            <w:tcW w:w="3720" w:type="dxa"/>
            <w:vAlign w:val="bottom"/>
          </w:tcPr>
          <w:p>
            <w:pPr>
              <w:ind w:left="20"/>
              <w:spacing w:after="0"/>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(1)</w:t>
            </w:r>
          </w:p>
        </w:tc>
        <w:tc>
          <w:tcPr>
            <w:tcW w:w="1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208</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62"/>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and other</w:t>
            </w:r>
          </w:p>
        </w:tc>
        <w:tc>
          <w:tcPr>
            <w:tcW w:w="12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32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32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w:t>
            </w:r>
          </w:p>
        </w:tc>
      </w:tr>
      <w:tr>
        <w:trPr>
          <w:trHeight w:val="229"/>
        </w:trPr>
        <w:tc>
          <w:tcPr>
            <w:tcW w:w="3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June 30, 2025</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3,606</w:t>
            </w:r>
          </w:p>
        </w:tc>
        <w:tc>
          <w:tcPr>
            <w:tcW w:w="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5,020</w:t>
            </w:r>
          </w:p>
        </w:tc>
        <w:tc>
          <w:tcPr>
            <w:tcW w:w="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2,041</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2,750</w:t>
            </w:r>
          </w:p>
        </w:tc>
        <w:tc>
          <w:tcPr>
            <w:tcW w:w="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13,417</w:t>
            </w:r>
          </w:p>
        </w:tc>
      </w:tr>
      <w:tr>
        <w:trPr>
          <w:trHeight w:val="21"/>
        </w:trPr>
        <w:tc>
          <w:tcPr>
            <w:tcW w:w="3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Includes the purchase of Spectronic Medical AB in the second quarter of 2025, recorded within the Imaging segment.</w:t>
      </w:r>
    </w:p>
    <w:p>
      <w:pPr>
        <w:spacing w:after="0" w:line="262"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We assess the possibility that a reporting unit’s fair value has been reduced below its carrying amount due to the occurrence of events or circumstances between annual impairment testing dates. We did not identify any reporting units that required an interim impairment test since the last annual impairment testing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60" w:type="dxa"/>
            <w:vAlign w:val="bottom"/>
          </w:tcPr>
          <w:p>
            <w:pPr>
              <w:spacing w:after="0"/>
              <w:rPr>
                <w:sz w:val="20"/>
                <w:szCs w:val="20"/>
                <w:color w:val="auto"/>
              </w:rPr>
            </w:pPr>
            <w:r>
              <w:rPr>
                <w:rFonts w:ascii="Arial" w:cs="Arial" w:eastAsia="Arial" w:hAnsi="Arial"/>
                <w:sz w:val="16"/>
                <w:szCs w:val="16"/>
                <w:b w:val="1"/>
                <w:bCs w:val="1"/>
                <w:color w:val="auto"/>
              </w:rPr>
              <w:t>OTHER INTANGIBLE ASSETS.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4"/>
          </w:tcPr>
          <w:p>
            <w:pPr>
              <w:jc w:val="right"/>
              <w:ind w:right="99"/>
              <w:spacing w:after="0"/>
              <w:rPr>
                <w:sz w:val="20"/>
                <w:szCs w:val="20"/>
                <w:color w:val="auto"/>
              </w:rPr>
            </w:pPr>
            <w:r>
              <w:rPr>
                <w:rFonts w:ascii="Arial" w:cs="Arial" w:eastAsia="Arial" w:hAnsi="Arial"/>
                <w:sz w:val="16"/>
                <w:szCs w:val="16"/>
                <w:b w:val="1"/>
                <w:bCs w:val="1"/>
                <w:color w:val="454545"/>
              </w:rPr>
              <w:t>As of June 30, 2025</w:t>
            </w: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40" w:type="dxa"/>
            <w:vAlign w:val="bottom"/>
            <w:gridSpan w:val="4"/>
          </w:tcPr>
          <w:p>
            <w:pPr>
              <w:jc w:val="center"/>
              <w:ind w:left="559"/>
              <w:spacing w:after="0"/>
              <w:rPr>
                <w:sz w:val="20"/>
                <w:szCs w:val="20"/>
                <w:color w:val="auto"/>
              </w:rPr>
            </w:pPr>
            <w:r>
              <w:rPr>
                <w:rFonts w:ascii="Arial" w:cs="Arial" w:eastAsia="Arial" w:hAnsi="Arial"/>
                <w:sz w:val="16"/>
                <w:szCs w:val="16"/>
                <w:b w:val="1"/>
                <w:bCs w:val="1"/>
                <w:color w:val="454545"/>
              </w:rPr>
              <w:t>As of December 31, 2024</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260" w:type="dxa"/>
            <w:vAlign w:val="bottom"/>
            <w:tcBorders>
              <w:bottom w:val="single" w:sz="8" w:color="454545"/>
            </w:tcBorders>
            <w:gridSpan w:val="2"/>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454545"/>
            </w:tcBorders>
            <w:gridSpan w:val="2"/>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Gross Carrying</w:t>
            </w:r>
          </w:p>
        </w:tc>
        <w:tc>
          <w:tcPr>
            <w:tcW w:w="14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454545"/>
                <w:w w:val="99"/>
              </w:rPr>
              <w:t>Accumulated</w:t>
            </w:r>
          </w:p>
        </w:tc>
        <w:tc>
          <w:tcPr>
            <w:tcW w:w="300" w:type="dxa"/>
            <w:vAlign w:val="bottom"/>
          </w:tcPr>
          <w:p>
            <w:pPr>
              <w:spacing w:after="0"/>
              <w:rPr>
                <w:sz w:val="18"/>
                <w:szCs w:val="18"/>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454545"/>
              </w:rPr>
              <w:t>Net</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Gross Carrying</w:t>
            </w:r>
          </w:p>
        </w:tc>
        <w:tc>
          <w:tcPr>
            <w:tcW w:w="120" w:type="dxa"/>
            <w:vAlign w:val="bottom"/>
          </w:tcPr>
          <w:p>
            <w:pPr>
              <w:spacing w:after="0"/>
              <w:rPr>
                <w:sz w:val="18"/>
                <w:szCs w:val="18"/>
                <w:color w:val="auto"/>
              </w:rPr>
            </w:pPr>
          </w:p>
        </w:tc>
        <w:tc>
          <w:tcPr>
            <w:tcW w:w="1160" w:type="dxa"/>
            <w:vAlign w:val="bottom"/>
          </w:tcPr>
          <w:p>
            <w:pPr>
              <w:jc w:val="center"/>
              <w:ind w:right="19"/>
              <w:spacing w:after="0"/>
              <w:rPr>
                <w:sz w:val="20"/>
                <w:szCs w:val="20"/>
                <w:color w:val="auto"/>
              </w:rPr>
            </w:pPr>
            <w:r>
              <w:rPr>
                <w:rFonts w:ascii="Arial" w:cs="Arial" w:eastAsia="Arial" w:hAnsi="Arial"/>
                <w:sz w:val="16"/>
                <w:szCs w:val="16"/>
                <w:b w:val="1"/>
                <w:bCs w:val="1"/>
                <w:color w:val="454545"/>
              </w:rPr>
              <w:t>Accumulated</w:t>
            </w:r>
          </w:p>
        </w:tc>
        <w:tc>
          <w:tcPr>
            <w:tcW w:w="420" w:type="dxa"/>
            <w:vAlign w:val="bottom"/>
          </w:tcPr>
          <w:p>
            <w:pPr>
              <w:spacing w:after="0"/>
              <w:rPr>
                <w:sz w:val="18"/>
                <w:szCs w:val="18"/>
                <w:color w:val="auto"/>
              </w:rPr>
            </w:pPr>
          </w:p>
        </w:tc>
        <w:tc>
          <w:tcPr>
            <w:tcW w:w="8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454545"/>
              </w:rPr>
              <w:t>Net</w:t>
            </w:r>
          </w:p>
        </w:tc>
        <w:tc>
          <w:tcPr>
            <w:tcW w:w="0" w:type="dxa"/>
            <w:vAlign w:val="bottom"/>
          </w:tcPr>
          <w:p>
            <w:pPr>
              <w:spacing w:after="0"/>
              <w:rPr>
                <w:sz w:val="1"/>
                <w:szCs w:val="1"/>
                <w:color w:val="auto"/>
              </w:rPr>
            </w:pPr>
          </w:p>
        </w:tc>
      </w:tr>
      <w:tr>
        <w:trPr>
          <w:trHeight w:val="115"/>
        </w:trPr>
        <w:tc>
          <w:tcPr>
            <w:tcW w:w="3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454545"/>
              </w:rPr>
              <w:t>Amount</w:t>
            </w:r>
          </w:p>
        </w:tc>
        <w:tc>
          <w:tcPr>
            <w:tcW w:w="140" w:type="dxa"/>
            <w:vAlign w:val="bottom"/>
          </w:tcPr>
          <w:p>
            <w:pPr>
              <w:spacing w:after="0"/>
              <w:rPr>
                <w:sz w:val="9"/>
                <w:szCs w:val="9"/>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454545"/>
              </w:rPr>
              <w:t>Amortization</w:t>
            </w:r>
          </w:p>
        </w:tc>
        <w:tc>
          <w:tcPr>
            <w:tcW w:w="3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454545"/>
              </w:rPr>
              <w:t>Amount</w:t>
            </w:r>
          </w:p>
        </w:tc>
        <w:tc>
          <w:tcPr>
            <w:tcW w:w="120" w:type="dxa"/>
            <w:vAlign w:val="bottom"/>
          </w:tcPr>
          <w:p>
            <w:pPr>
              <w:spacing w:after="0"/>
              <w:rPr>
                <w:sz w:val="9"/>
                <w:szCs w:val="9"/>
                <w:color w:val="auto"/>
              </w:rPr>
            </w:pPr>
          </w:p>
        </w:tc>
        <w:tc>
          <w:tcPr>
            <w:tcW w:w="116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454545"/>
              </w:rPr>
              <w:t>Amortization</w:t>
            </w:r>
          </w:p>
        </w:tc>
        <w:tc>
          <w:tcPr>
            <w:tcW w:w="4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336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Definite-lived assets</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60" w:type="dxa"/>
            <w:vAlign w:val="bottom"/>
          </w:tcPr>
          <w:p>
            <w:pPr>
              <w:ind w:left="140"/>
              <w:spacing w:after="0"/>
              <w:rPr>
                <w:sz w:val="20"/>
                <w:szCs w:val="20"/>
                <w:color w:val="auto"/>
              </w:rPr>
            </w:pPr>
            <w:r>
              <w:rPr>
                <w:rFonts w:ascii="Arial" w:cs="Arial" w:eastAsia="Arial" w:hAnsi="Arial"/>
                <w:sz w:val="16"/>
                <w:szCs w:val="16"/>
                <w:color w:val="auto"/>
              </w:rPr>
              <w:t>Customer-related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258</w:t>
            </w:r>
          </w:p>
        </w:tc>
        <w:tc>
          <w:tcPr>
            <w:tcW w:w="24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9"/>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Patents and technology</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2,671</w:t>
            </w:r>
          </w:p>
        </w:tc>
        <w:tc>
          <w:tcPr>
            <w:tcW w:w="1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(2,060)</w:t>
            </w:r>
          </w:p>
        </w:tc>
        <w:tc>
          <w:tcPr>
            <w:tcW w:w="30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611</w:t>
            </w:r>
          </w:p>
        </w:tc>
        <w:tc>
          <w:tcPr>
            <w:tcW w:w="24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2,593</w:t>
            </w:r>
          </w:p>
        </w:tc>
        <w:tc>
          <w:tcPr>
            <w:tcW w:w="12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(1,987)</w:t>
            </w:r>
          </w:p>
        </w:tc>
        <w:tc>
          <w:tcPr>
            <w:tcW w:w="4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28"/>
        </w:trPr>
        <w:tc>
          <w:tcPr>
            <w:tcW w:w="3360" w:type="dxa"/>
            <w:vAlign w:val="bottom"/>
          </w:tcPr>
          <w:p>
            <w:pPr>
              <w:ind w:left="140"/>
              <w:spacing w:after="0"/>
              <w:rPr>
                <w:sz w:val="20"/>
                <w:szCs w:val="20"/>
                <w:color w:val="auto"/>
              </w:rPr>
            </w:pPr>
            <w:r>
              <w:rPr>
                <w:rFonts w:ascii="Arial" w:cs="Arial" w:eastAsia="Arial" w:hAnsi="Arial"/>
                <w:sz w:val="16"/>
                <w:szCs w:val="16"/>
                <w:color w:val="auto"/>
              </w:rPr>
              <w:t>Capitalized software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1,779</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(1,523)</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9"/>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3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Trademarks and other</w:t>
            </w: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w:t>
            </w:r>
          </w:p>
        </w:tc>
        <w:tc>
          <w:tcPr>
            <w:tcW w:w="14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30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24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420" w:type="dxa"/>
            <w:vAlign w:val="bottom"/>
            <w:tcBorders>
              <w:bottom w:val="single" w:sz="8" w:color="E4E4E4"/>
            </w:tcBorders>
            <w:shd w:val="clear" w:color="auto" w:fill="E4E4E4"/>
          </w:tcPr>
          <w:p>
            <w:pPr>
              <w:spacing w:after="0"/>
              <w:rPr>
                <w:sz w:val="22"/>
                <w:szCs w:val="22"/>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3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definite-lived assets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4,787</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(3,645)</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1,142</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4,481</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(3,477)</w:t>
            </w: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1,004</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3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Indefinite-lived assets</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78</w:t>
            </w:r>
          </w:p>
        </w:tc>
        <w:tc>
          <w:tcPr>
            <w:tcW w:w="14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shd w:val="clear" w:color="auto" w:fill="E4E4E4"/>
          </w:tcPr>
          <w:p>
            <w:pPr>
              <w:spacing w:after="0"/>
              <w:rPr>
                <w:sz w:val="22"/>
                <w:szCs w:val="22"/>
                <w:color w:val="auto"/>
              </w:rPr>
            </w:pP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78</w:t>
            </w:r>
          </w:p>
        </w:tc>
        <w:tc>
          <w:tcPr>
            <w:tcW w:w="240" w:type="dxa"/>
            <w:vAlign w:val="bottom"/>
            <w:tcBorders>
              <w:bottom w:val="single" w:sz="8" w:color="auto"/>
            </w:tcBorders>
            <w:shd w:val="clear" w:color="auto" w:fill="E4E4E4"/>
          </w:tcPr>
          <w:p>
            <w:pPr>
              <w:spacing w:after="0"/>
              <w:rPr>
                <w:sz w:val="22"/>
                <w:szCs w:val="22"/>
                <w:color w:val="auto"/>
              </w:rPr>
            </w:pPr>
          </w:p>
        </w:tc>
        <w:tc>
          <w:tcPr>
            <w:tcW w:w="22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w:t>
            </w:r>
          </w:p>
        </w:tc>
        <w:tc>
          <w:tcPr>
            <w:tcW w:w="12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Total other intangible assets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4,865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(3,645)</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1,220</w:t>
            </w:r>
          </w:p>
        </w:tc>
        <w:tc>
          <w:tcPr>
            <w:tcW w:w="24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4,555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(3,477)</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1,078</w:t>
            </w:r>
          </w:p>
        </w:tc>
        <w:tc>
          <w:tcPr>
            <w:tcW w:w="0" w:type="dxa"/>
            <w:vAlign w:val="bottom"/>
          </w:tcPr>
          <w:p>
            <w:pPr>
              <w:spacing w:after="0"/>
              <w:rPr>
                <w:sz w:val="1"/>
                <w:szCs w:val="1"/>
                <w:color w:val="auto"/>
              </w:rPr>
            </w:pP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Indefinite-lived intangible assets relate to acquired IPR&amp;D prior to project completion and are not amortized.</w:t>
      </w:r>
    </w:p>
    <w:p>
      <w:pPr>
        <w:spacing w:after="0" w:line="24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Amortization expense was $75 million and $81 million for the three months ended June 30, 2025 and 2024, respectively, and $146 million and $160 million for the six months ended June 30, 2025 and 2024,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borrowings include the following senior unsecured notes and credit agreements: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Unsecured Notes</w:t>
      </w:r>
    </w:p>
    <w:p>
      <w:pPr>
        <w:spacing w:after="0" w:line="29"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In the second quarter of 2025, the Company issued $650 million of 4.800% senior unsecured notes due in 2031 and $850 million of 5.500% senior unsecured notes due in 2035. The non-economic terms of the newly issued senior unsecured notes are substantially similar to the terms of the Company’s existing senior unsecured notes. As of June 30, 2025, the Company’s borrowings include $9,750 million aggregate principal amount of senior unsecured notes in eight series with maturity dates ranging from 2025 through 2052 (collectively, the “Notes”). Refer to the table below for further information about the Notes.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Facilities</w:t>
      </w:r>
    </w:p>
    <w:p>
      <w:pPr>
        <w:spacing w:after="0" w:line="29" w:lineRule="exact"/>
        <w:rPr>
          <w:sz w:val="20"/>
          <w:szCs w:val="20"/>
          <w:color w:val="auto"/>
        </w:rPr>
      </w:pPr>
    </w:p>
    <w:p>
      <w:pPr>
        <w:jc w:val="both"/>
        <w:ind w:right="120"/>
        <w:spacing w:after="0" w:line="267" w:lineRule="auto"/>
        <w:rPr>
          <w:sz w:val="20"/>
          <w:szCs w:val="20"/>
          <w:color w:val="auto"/>
        </w:rPr>
      </w:pPr>
      <w:r>
        <w:rPr>
          <w:rFonts w:ascii="Arial" w:cs="Arial" w:eastAsia="Arial" w:hAnsi="Arial"/>
          <w:sz w:val="16"/>
          <w:szCs w:val="16"/>
          <w:color w:val="auto"/>
        </w:rPr>
        <w:t>In the first quarter of 2025, the Company terminated its existing five-year and 364-day senior unsecured revolving credit facilities. These were replaced with new five-year and 364-day senior unsecured revolving credit facilities in aggregate committed amounts of $3,000 million and $500 million, respectively. The terms of the new facilities are substantially similar to those of the terminated facilities.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credit agreements providing for:</w:t>
      </w:r>
    </w:p>
    <w:p>
      <w:pPr>
        <w:spacing w:after="0" w:line="31"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five-year senior unsecured revolving credit facility in an aggregate committed amount of $3,000 million, maturing on March 27, 2030;</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364-day senior unsecured revolving credit facility in an aggregate committed amount of $500 million, maturing on March 26, 2026; and</w:t>
      </w:r>
    </w:p>
    <w:p>
      <w:pPr>
        <w:spacing w:after="0" w:line="99" w:lineRule="exact"/>
        <w:rPr>
          <w:rFonts w:ascii="Arial" w:cs="Arial" w:eastAsia="Arial" w:hAnsi="Arial"/>
          <w:sz w:val="16"/>
          <w:szCs w:val="16"/>
          <w:color w:val="auto"/>
        </w:rPr>
      </w:pPr>
    </w:p>
    <w:p>
      <w:pPr>
        <w:ind w:left="660" w:right="220" w:hanging="328"/>
        <w:spacing w:after="0" w:line="28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three-year senior unsecured term loan credit facility in an aggregate principal amount of $2,000 million, maturing on January 2, 2026 (the “Term Loan Facility” and, together with the five-year revolving credit facility and the 364-day revolving credit facility, the “Credit Facilities”).</w:t>
      </w:r>
    </w:p>
    <w:p>
      <w:pPr>
        <w:spacing w:after="0" w:line="196" w:lineRule="exact"/>
        <w:rPr>
          <w:sz w:val="20"/>
          <w:szCs w:val="20"/>
          <w:color w:val="auto"/>
        </w:rPr>
      </w:pPr>
    </w:p>
    <w:p>
      <w:pPr>
        <w:jc w:val="both"/>
        <w:ind w:right="700"/>
        <w:spacing w:after="0" w:line="266" w:lineRule="auto"/>
        <w:rPr>
          <w:sz w:val="20"/>
          <w:szCs w:val="20"/>
          <w:color w:val="auto"/>
        </w:rPr>
      </w:pPr>
      <w:r>
        <w:rPr>
          <w:rFonts w:ascii="Arial" w:cs="Arial" w:eastAsia="Arial" w:hAnsi="Arial"/>
          <w:sz w:val="16"/>
          <w:szCs w:val="16"/>
          <w:color w:val="auto"/>
        </w:rPr>
        <w:t>There were no outstanding amounts under the five-year revolving credit facility and 364-day revolving credit facility, and there was $500 million and $750 million outstanding on the Term Loan Facility as of June 30, 2025 and December 31, 2024, respectively. In the first quarter of 2025, we repaid $250 million of the Term Loan Facility.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Borrowings Composition</w:t>
            </w:r>
          </w:p>
        </w:tc>
        <w:tc>
          <w:tcPr>
            <w:tcW w:w="1760" w:type="dxa"/>
            <w:vAlign w:val="bottom"/>
          </w:tcPr>
          <w:p>
            <w:pPr>
              <w:spacing w:after="0"/>
              <w:rPr>
                <w:sz w:val="19"/>
                <w:szCs w:val="19"/>
                <w:color w:val="auto"/>
              </w:rPr>
            </w:pPr>
          </w:p>
        </w:tc>
        <w:tc>
          <w:tcPr>
            <w:tcW w:w="8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As of</w:t>
            </w:r>
          </w:p>
        </w:tc>
        <w:tc>
          <w:tcPr>
            <w:tcW w:w="1980" w:type="dxa"/>
            <w:vAlign w:val="bottom"/>
          </w:tcPr>
          <w:p>
            <w:pPr>
              <w:spacing w:after="0"/>
              <w:rPr>
                <w:sz w:val="19"/>
                <w:szCs w:val="19"/>
                <w:color w:val="auto"/>
              </w:rPr>
            </w:pPr>
          </w:p>
        </w:tc>
      </w:tr>
      <w:tr>
        <w:trPr>
          <w:trHeight w:val="21"/>
        </w:trPr>
        <w:tc>
          <w:tcPr>
            <w:tcW w:w="6640" w:type="dxa"/>
            <w:vAlign w:val="bottom"/>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r>
        <w:trPr>
          <w:trHeight w:val="229"/>
        </w:trPr>
        <w:tc>
          <w:tcPr>
            <w:tcW w:w="66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454545"/>
              </w:rPr>
              <w:t>June 30, 2025</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jc w:val="right"/>
              <w:ind w:right="33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6640" w:type="dxa"/>
            <w:vAlign w:val="bottom"/>
            <w:tcBorders>
              <w:bottom w:val="single" w:sz="8" w:color="6022A6"/>
            </w:tcBorders>
          </w:tcPr>
          <w:p>
            <w:pPr>
              <w:spacing w:after="0" w:line="20" w:lineRule="exact"/>
              <w:rPr>
                <w:sz w:val="1"/>
                <w:szCs w:val="1"/>
                <w:color w:val="auto"/>
              </w:rPr>
            </w:pPr>
          </w:p>
        </w:tc>
        <w:tc>
          <w:tcPr>
            <w:tcW w:w="176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5.600% senior notes due November 15, 2025</w:t>
            </w:r>
          </w:p>
        </w:tc>
        <w:tc>
          <w:tcPr>
            <w:tcW w:w="1760" w:type="dxa"/>
            <w:vAlign w:val="bottom"/>
            <w:tcBorders>
              <w:bottom w:val="single" w:sz="8" w:color="E4E4E4"/>
            </w:tcBorders>
            <w:shd w:val="clear" w:color="auto" w:fill="E4E4E4"/>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1,500</w:t>
            </w:r>
          </w:p>
        </w:tc>
        <w:tc>
          <w:tcPr>
            <w:tcW w:w="3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1,500</w:t>
            </w:r>
          </w:p>
        </w:tc>
      </w:tr>
      <w:tr>
        <w:trPr>
          <w:trHeight w:val="227"/>
        </w:trPr>
        <w:tc>
          <w:tcPr>
            <w:tcW w:w="6640" w:type="dxa"/>
            <w:vAlign w:val="bottom"/>
          </w:tcPr>
          <w:p>
            <w:pPr>
              <w:ind w:left="20"/>
              <w:spacing w:after="0"/>
              <w:rPr>
                <w:sz w:val="20"/>
                <w:szCs w:val="20"/>
                <w:color w:val="auto"/>
              </w:rPr>
            </w:pPr>
            <w:r>
              <w:rPr>
                <w:rFonts w:ascii="Arial" w:cs="Arial" w:eastAsia="Arial" w:hAnsi="Arial"/>
                <w:sz w:val="16"/>
                <w:szCs w:val="16"/>
                <w:color w:val="auto"/>
              </w:rPr>
              <w:t>5.650% senior notes due November 15, 2027</w:t>
            </w:r>
          </w:p>
        </w:tc>
        <w:tc>
          <w:tcPr>
            <w:tcW w:w="17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1,750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29"/>
        </w:trPr>
        <w:tc>
          <w:tcPr>
            <w:tcW w:w="6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6"/>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4.800% senior notes due August 14, 2029</w:t>
            </w:r>
          </w:p>
        </w:tc>
        <w:tc>
          <w:tcPr>
            <w:tcW w:w="176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5.857% senior notes due March 15, 2030</w:t>
            </w:r>
          </w:p>
        </w:tc>
        <w:tc>
          <w:tcPr>
            <w:tcW w:w="17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1,250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9"/>
        </w:trPr>
        <w:tc>
          <w:tcPr>
            <w:tcW w:w="6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4.800% senior notes due January 15, 2031</w:t>
            </w:r>
          </w:p>
        </w:tc>
        <w:tc>
          <w:tcPr>
            <w:tcW w:w="176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5.905% senior notes due November 22, 2032</w:t>
            </w:r>
          </w:p>
        </w:tc>
        <w:tc>
          <w:tcPr>
            <w:tcW w:w="17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1,750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29"/>
        </w:trPr>
        <w:tc>
          <w:tcPr>
            <w:tcW w:w="6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6"/>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5.500% senior notes due June 15, 2035</w:t>
            </w:r>
          </w:p>
        </w:tc>
        <w:tc>
          <w:tcPr>
            <w:tcW w:w="176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6.377% senior notes due November 22, 2052</w:t>
            </w:r>
          </w:p>
        </w:tc>
        <w:tc>
          <w:tcPr>
            <w:tcW w:w="17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9"/>
        </w:trPr>
        <w:tc>
          <w:tcPr>
            <w:tcW w:w="6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6"/>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Floating rate Term Loan Facility due January 2, 2026</w:t>
            </w:r>
          </w:p>
        </w:tc>
        <w:tc>
          <w:tcPr>
            <w:tcW w:w="176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750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Other</w:t>
            </w:r>
          </w:p>
        </w:tc>
        <w:tc>
          <w:tcPr>
            <w:tcW w:w="17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36</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32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principal debt issued</w:t>
            </w:r>
          </w:p>
        </w:tc>
        <w:tc>
          <w:tcPr>
            <w:tcW w:w="2240" w:type="dxa"/>
            <w:vAlign w:val="bottom"/>
            <w:tcBorders>
              <w:top w:val="single" w:sz="8" w:color="auto"/>
              <w:bottom w:val="single" w:sz="8" w:color="E4E4E4"/>
            </w:tcBorders>
            <w:shd w:val="clear" w:color="auto" w:fill="E4E4E4"/>
          </w:tcPr>
          <w:p>
            <w:pPr>
              <w:spacing w:after="0"/>
              <w:rPr>
                <w:sz w:val="23"/>
                <w:szCs w:val="23"/>
                <w:color w:val="auto"/>
              </w:rPr>
            </w:pPr>
          </w:p>
        </w:tc>
        <w:tc>
          <w:tcPr>
            <w:tcW w:w="13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10,278</w:t>
            </w:r>
          </w:p>
        </w:tc>
        <w:tc>
          <w:tcPr>
            <w:tcW w:w="980" w:type="dxa"/>
            <w:vAlign w:val="bottom"/>
            <w:tcBorders>
              <w:top w:val="single" w:sz="8" w:color="auto"/>
              <w:bottom w:val="single" w:sz="8" w:color="E4E4E4"/>
            </w:tcBorders>
            <w:shd w:val="clear" w:color="auto" w:fill="E4E4E4"/>
          </w:tcPr>
          <w:p>
            <w:pPr>
              <w:spacing w:after="0"/>
              <w:rPr>
                <w:sz w:val="23"/>
                <w:szCs w:val="23"/>
                <w:color w:val="auto"/>
              </w:rPr>
            </w:pPr>
          </w:p>
        </w:tc>
        <w:tc>
          <w:tcPr>
            <w:tcW w:w="134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9,036</w:t>
            </w:r>
          </w:p>
        </w:tc>
      </w:tr>
      <w:tr>
        <w:trPr>
          <w:trHeight w:val="221"/>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Unamortized debt issuance costs and discounts</w:t>
            </w:r>
          </w:p>
        </w:tc>
        <w:tc>
          <w:tcPr>
            <w:tcW w:w="2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9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9"/>
        </w:trPr>
        <w:tc>
          <w:tcPr>
            <w:tcW w:w="53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1"/>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Cumulative basis adjustment for fair value hedges</w:t>
            </w:r>
          </w:p>
        </w:tc>
        <w:tc>
          <w:tcPr>
            <w:tcW w:w="224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980" w:type="dxa"/>
            <w:vAlign w:val="bottom"/>
            <w:tcBorders>
              <w:bottom w:val="single" w:sz="8" w:color="E4E4E4"/>
            </w:tcBorders>
            <w:shd w:val="clear" w:color="auto" w:fill="E4E4E4"/>
          </w:tcPr>
          <w:p>
            <w:pPr>
              <w:spacing w:after="0"/>
              <w:rPr>
                <w:sz w:val="22"/>
                <w:szCs w:val="22"/>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r>
      <w:tr>
        <w:trPr>
          <w:trHeight w:val="229"/>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borrowings</w:t>
            </w:r>
          </w:p>
        </w:tc>
        <w:tc>
          <w:tcPr>
            <w:tcW w:w="2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10,275</w:t>
            </w:r>
          </w:p>
        </w:tc>
        <w:tc>
          <w:tcPr>
            <w:tcW w:w="9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8,951</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0"/>
        </w:trPr>
        <w:tc>
          <w:tcPr>
            <w:tcW w:w="5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Less: Short-term borrowings</w:t>
            </w:r>
            <w:r>
              <w:rPr>
                <w:rFonts w:ascii="Arial" w:cs="Arial" w:eastAsia="Arial" w:hAnsi="Arial"/>
                <w:sz w:val="21"/>
                <w:szCs w:val="21"/>
                <w:color w:val="auto"/>
                <w:vertAlign w:val="superscript"/>
              </w:rPr>
              <w:t>(1)</w:t>
            </w:r>
          </w:p>
        </w:tc>
        <w:tc>
          <w:tcPr>
            <w:tcW w:w="224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2,005</w:t>
            </w:r>
          </w:p>
        </w:tc>
        <w:tc>
          <w:tcPr>
            <w:tcW w:w="980" w:type="dxa"/>
            <w:vAlign w:val="bottom"/>
            <w:tcBorders>
              <w:bottom w:val="single" w:sz="8" w:color="auto"/>
            </w:tcBorders>
            <w:shd w:val="clear" w:color="auto" w:fill="E4E4E4"/>
          </w:tcPr>
          <w:p>
            <w:pPr>
              <w:spacing w:after="0"/>
              <w:rPr>
                <w:sz w:val="21"/>
                <w:szCs w:val="21"/>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1,502</w:t>
            </w:r>
          </w:p>
        </w:tc>
      </w:tr>
      <w:tr>
        <w:trPr>
          <w:trHeight w:val="229"/>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Long-term borrowings</w:t>
            </w:r>
          </w:p>
        </w:tc>
        <w:tc>
          <w:tcPr>
            <w:tcW w:w="224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8,270</w:t>
            </w:r>
          </w:p>
        </w:tc>
        <w:tc>
          <w:tcPr>
            <w:tcW w:w="98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7,449</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40" w:hanging="252"/>
        <w:spacing w:after="0" w:line="304"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Short-term borrowings as of June 30, 2025 and December 31, 2024 includes $2,002 million and $1,500 million, respectively, related to the current portion of our long-term borrowings, net of unamortized debt issuance costs and discounts.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See Note 12, “Financial Instruments and Fair Value Measurements” for further information about borrowings and associated derivatives contracts.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 GUARANTEES, AND OTHER COMMITMENTS.</w:t>
      </w:r>
    </w:p>
    <w:p>
      <w:pPr>
        <w:spacing w:after="0" w:line="26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As of June 30, 2025 and December 31, 2024, the Company had bank guarantees and surety bonds of approximately $883 million and $784 million, respectively, related to certain commercial contracts. Additionally, we have issued approximately $26 million and $25 million of guarantees as of June 30, 2025 and December 31, 2024, respectively, primarily related to residual value and credit guarantees on equipment sold to third-party finance companies. Our Condensed Consolidated Statements of Financial Position reflect a liability of $4 million and $3 million as of June 30, 2025 and December 31, 2024, respectively, related to these guarantees. For credit-related guarantees, we estimate our expected credit losses related to off-balance sheet credit exposure consistent with the method used to estimate the allowance for credit losses on financial assets held at amortized cost.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POSTRETIREMENT BENEFIT PLANS</w:t>
      </w:r>
    </w:p>
    <w:p>
      <w:pPr>
        <w:spacing w:after="0" w:line="257"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We sponsor a number of pension and retiree health and life insurance benefit plans that we present in three categories: U.S. Plans, International Plans, and Other Postretirement Plans (“OPEB Plans”). Please refer to Note 10, “Postretirement Benefit Plans” in our Annual Report on Form 10-K for the fiscal year ended December 31, 2024 for further information. Pension plans with pension assets or obligations less than $50 million are not included in the results below.</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Components of Expense (Income)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0" w:type="dxa"/>
            <w:vAlign w:val="bottom"/>
            <w:gridSpan w:val="5"/>
          </w:tcPr>
          <w:p>
            <w:pPr>
              <w:ind w:left="440"/>
              <w:spacing w:after="0"/>
              <w:rPr>
                <w:sz w:val="20"/>
                <w:szCs w:val="20"/>
                <w:color w:val="auto"/>
              </w:rPr>
            </w:pPr>
            <w:r>
              <w:rPr>
                <w:rFonts w:ascii="Arial" w:cs="Arial" w:eastAsia="Arial" w:hAnsi="Arial"/>
                <w:sz w:val="16"/>
                <w:szCs w:val="16"/>
                <w:b w:val="1"/>
                <w:bCs w:val="1"/>
                <w:color w:val="454545"/>
              </w:rPr>
              <w:t>U.S. Plans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5"/>
          </w:tcPr>
          <w:p>
            <w:pPr>
              <w:ind w:left="120"/>
              <w:spacing w:after="0"/>
              <w:rPr>
                <w:sz w:val="20"/>
                <w:szCs w:val="20"/>
                <w:color w:val="auto"/>
              </w:rPr>
            </w:pPr>
            <w:r>
              <w:rPr>
                <w:rFonts w:ascii="Arial" w:cs="Arial" w:eastAsia="Arial" w:hAnsi="Arial"/>
                <w:sz w:val="16"/>
                <w:szCs w:val="16"/>
                <w:b w:val="1"/>
                <w:bCs w:val="1"/>
                <w:color w:val="454545"/>
              </w:rPr>
              <w:t>International Plans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454545"/>
              </w:rPr>
              <w:t>OPEB Plans</w:t>
            </w:r>
          </w:p>
        </w:tc>
        <w:tc>
          <w:tcPr>
            <w:tcW w:w="0" w:type="dxa"/>
            <w:vAlign w:val="bottom"/>
          </w:tcPr>
          <w:p>
            <w:pPr>
              <w:spacing w:after="0"/>
              <w:rPr>
                <w:sz w:val="1"/>
                <w:szCs w:val="1"/>
                <w:color w:val="auto"/>
              </w:rPr>
            </w:pPr>
          </w:p>
        </w:tc>
      </w:tr>
      <w:tr>
        <w:trPr>
          <w:trHeight w:val="21"/>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454545"/>
              </w:rPr>
              <w:t>For the three months ended June 30,</w:t>
            </w:r>
          </w:p>
        </w:tc>
        <w:tc>
          <w:tcPr>
            <w:tcW w:w="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5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6"/>
                <w:szCs w:val="16"/>
                <w:b w:val="1"/>
                <w:bCs w:val="1"/>
                <w:color w:val="454545"/>
              </w:rPr>
              <w:t>2025</w:t>
            </w: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26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2024</w:t>
            </w:r>
          </w:p>
        </w:tc>
        <w:tc>
          <w:tcPr>
            <w:tcW w:w="0" w:type="dxa"/>
            <w:vAlign w:val="bottom"/>
          </w:tcPr>
          <w:p>
            <w:pPr>
              <w:spacing w:after="0"/>
              <w:rPr>
                <w:sz w:val="1"/>
                <w:szCs w:val="1"/>
                <w:color w:val="auto"/>
              </w:rPr>
            </w:pPr>
          </w:p>
        </w:tc>
      </w:tr>
      <w:tr>
        <w:trPr>
          <w:trHeight w:val="21"/>
        </w:trPr>
        <w:tc>
          <w:tcPr>
            <w:tcW w:w="45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24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27"/>
        </w:trPr>
        <w:tc>
          <w:tcPr>
            <w:tcW w:w="45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249</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9"/>
        </w:trPr>
        <w:tc>
          <w:tcPr>
            <w:tcW w:w="4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(287)</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(299)</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56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9"/>
        </w:trPr>
        <w:tc>
          <w:tcPr>
            <w:tcW w:w="4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gridSpan w:val="3"/>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7"/>
        </w:trPr>
        <w:tc>
          <w:tcPr>
            <w:tcW w:w="4560" w:type="dxa"/>
            <w:vAlign w:val="bottom"/>
          </w:tcPr>
          <w:p>
            <w:pPr>
              <w:ind w:left="20"/>
              <w:spacing w:after="0"/>
              <w:rPr>
                <w:sz w:val="20"/>
                <w:szCs w:val="20"/>
                <w:color w:val="auto"/>
              </w:rPr>
            </w:pPr>
            <w:r>
              <w:rPr>
                <w:rFonts w:ascii="Arial" w:cs="Arial" w:eastAsia="Arial" w:hAnsi="Arial"/>
                <w:sz w:val="16"/>
                <w:szCs w:val="16"/>
                <w:color w:val="auto"/>
              </w:rPr>
              <w:t>Special termination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Non-operating</w:t>
            </w:r>
          </w:p>
        </w:tc>
        <w:tc>
          <w:tcPr>
            <w:tcW w:w="24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(59)</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(72)</w:t>
            </w:r>
          </w:p>
        </w:tc>
        <w:tc>
          <w:tcPr>
            <w:tcW w:w="20" w:type="dxa"/>
            <w:vAlign w:val="bottom"/>
            <w:tcBorders>
              <w:bottom w:val="single" w:sz="8" w:color="E4E4E4"/>
            </w:tcBorders>
            <w:shd w:val="clear" w:color="auto" w:fill="E4E4E4"/>
          </w:tcPr>
          <w:p>
            <w:pPr>
              <w:spacing w:after="0"/>
              <w:rPr>
                <w:sz w:val="21"/>
                <w:szCs w:val="21"/>
                <w:color w:val="auto"/>
              </w:rPr>
            </w:pPr>
          </w:p>
        </w:tc>
        <w:tc>
          <w:tcPr>
            <w:tcW w:w="6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c>
          <w:tcPr>
            <w:tcW w:w="20" w:type="dxa"/>
            <w:vAlign w:val="bottom"/>
            <w:tcBorders>
              <w:bottom w:val="single" w:sz="8" w:color="E4E4E4"/>
            </w:tcBorders>
            <w:shd w:val="clear" w:color="auto" w:fill="E4E4E4"/>
          </w:tcPr>
          <w:p>
            <w:pPr>
              <w:spacing w:after="0"/>
              <w:rPr>
                <w:sz w:val="21"/>
                <w:szCs w:val="21"/>
                <w:color w:val="auto"/>
              </w:rPr>
            </w:pPr>
          </w:p>
        </w:tc>
        <w:tc>
          <w:tcPr>
            <w:tcW w:w="6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229"/>
        </w:trPr>
        <w:tc>
          <w:tcPr>
            <w:tcW w:w="45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2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1"/>
        </w:trPr>
        <w:tc>
          <w:tcPr>
            <w:tcW w:w="4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3"/>
        </w:trPr>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5"/>
          </w:tcPr>
          <w:p>
            <w:pPr>
              <w:ind w:left="460"/>
              <w:spacing w:after="0"/>
              <w:rPr>
                <w:sz w:val="20"/>
                <w:szCs w:val="20"/>
                <w:color w:val="auto"/>
              </w:rPr>
            </w:pPr>
            <w:r>
              <w:rPr>
                <w:rFonts w:ascii="Arial" w:cs="Arial" w:eastAsia="Arial" w:hAnsi="Arial"/>
                <w:sz w:val="16"/>
                <w:szCs w:val="16"/>
                <w:b w:val="1"/>
                <w:bCs w:val="1"/>
                <w:color w:val="454545"/>
              </w:rPr>
              <w:t>U.S. Plans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ind w:left="140"/>
              <w:spacing w:after="0"/>
              <w:rPr>
                <w:sz w:val="20"/>
                <w:szCs w:val="20"/>
                <w:color w:val="auto"/>
              </w:rPr>
            </w:pPr>
            <w:r>
              <w:rPr>
                <w:rFonts w:ascii="Arial" w:cs="Arial" w:eastAsia="Arial" w:hAnsi="Arial"/>
                <w:sz w:val="16"/>
                <w:szCs w:val="16"/>
                <w:b w:val="1"/>
                <w:bCs w:val="1"/>
                <w:color w:val="454545"/>
              </w:rPr>
              <w:t>International Plans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454545"/>
              </w:rPr>
              <w:t>OPEB Plans</w:t>
            </w:r>
          </w:p>
        </w:tc>
        <w:tc>
          <w:tcPr>
            <w:tcW w:w="0" w:type="dxa"/>
            <w:vAlign w:val="bottom"/>
          </w:tcPr>
          <w:p>
            <w:pPr>
              <w:spacing w:after="0"/>
              <w:rPr>
                <w:sz w:val="1"/>
                <w:szCs w:val="1"/>
                <w:color w:val="auto"/>
              </w:rPr>
            </w:pPr>
          </w:p>
        </w:tc>
      </w:tr>
      <w:tr>
        <w:trPr>
          <w:trHeight w:val="21"/>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454545"/>
              </w:rPr>
              <w:t>For the six months ended June 30,</w:t>
            </w:r>
          </w:p>
        </w:tc>
        <w:tc>
          <w:tcPr>
            <w:tcW w:w="2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5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2025</w:t>
            </w:r>
          </w:p>
        </w:tc>
        <w:tc>
          <w:tcPr>
            <w:tcW w:w="240" w:type="dxa"/>
            <w:vAlign w:val="bottom"/>
          </w:tcPr>
          <w:p>
            <w:pPr>
              <w:spacing w:after="0"/>
              <w:rPr>
                <w:sz w:val="19"/>
                <w:szCs w:val="19"/>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ind w:left="140"/>
              <w:spacing w:after="0"/>
              <w:rPr>
                <w:sz w:val="20"/>
                <w:szCs w:val="20"/>
                <w:color w:val="auto"/>
              </w:rPr>
            </w:pPr>
            <w:r>
              <w:rPr>
                <w:rFonts w:ascii="Arial" w:cs="Arial" w:eastAsia="Arial" w:hAnsi="Arial"/>
                <w:sz w:val="16"/>
                <w:szCs w:val="16"/>
                <w:b w:val="1"/>
                <w:bCs w:val="1"/>
                <w:color w:val="454545"/>
              </w:rPr>
              <w:t>2025</w:t>
            </w:r>
          </w:p>
        </w:tc>
        <w:tc>
          <w:tcPr>
            <w:tcW w:w="240" w:type="dxa"/>
            <w:vAlign w:val="bottom"/>
          </w:tcPr>
          <w:p>
            <w:pPr>
              <w:spacing w:after="0"/>
              <w:rPr>
                <w:sz w:val="19"/>
                <w:szCs w:val="19"/>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2025</w:t>
            </w:r>
          </w:p>
        </w:tc>
        <w:tc>
          <w:tcPr>
            <w:tcW w:w="26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2024</w:t>
            </w:r>
          </w:p>
        </w:tc>
        <w:tc>
          <w:tcPr>
            <w:tcW w:w="0" w:type="dxa"/>
            <w:vAlign w:val="bottom"/>
          </w:tcPr>
          <w:p>
            <w:pPr>
              <w:spacing w:after="0"/>
              <w:rPr>
                <w:sz w:val="1"/>
                <w:szCs w:val="1"/>
                <w:color w:val="auto"/>
              </w:rPr>
            </w:pPr>
          </w:p>
        </w:tc>
      </w:tr>
      <w:tr>
        <w:trPr>
          <w:trHeight w:val="21"/>
        </w:trPr>
        <w:tc>
          <w:tcPr>
            <w:tcW w:w="45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24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28"/>
        </w:trPr>
        <w:tc>
          <w:tcPr>
            <w:tcW w:w="45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497</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9"/>
        </w:trPr>
        <w:tc>
          <w:tcPr>
            <w:tcW w:w="4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(573)</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(597)</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56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9"/>
        </w:trPr>
        <w:tc>
          <w:tcPr>
            <w:tcW w:w="4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gridSpan w:val="3"/>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28"/>
        </w:trPr>
        <w:tc>
          <w:tcPr>
            <w:tcW w:w="4560" w:type="dxa"/>
            <w:vAlign w:val="bottom"/>
          </w:tcPr>
          <w:p>
            <w:pPr>
              <w:ind w:left="20"/>
              <w:spacing w:after="0"/>
              <w:rPr>
                <w:sz w:val="20"/>
                <w:szCs w:val="20"/>
                <w:color w:val="auto"/>
              </w:rPr>
            </w:pPr>
            <w:r>
              <w:rPr>
                <w:rFonts w:ascii="Arial" w:cs="Arial" w:eastAsia="Arial" w:hAnsi="Arial"/>
                <w:sz w:val="16"/>
                <w:szCs w:val="16"/>
                <w:color w:val="auto"/>
              </w:rPr>
              <w:t>Special termination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Non-operating</w:t>
            </w:r>
          </w:p>
        </w:tc>
        <w:tc>
          <w:tcPr>
            <w:tcW w:w="24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(119)</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w:t>
            </w:r>
          </w:p>
        </w:tc>
        <w:tc>
          <w:tcPr>
            <w:tcW w:w="20" w:type="dxa"/>
            <w:vAlign w:val="bottom"/>
            <w:tcBorders>
              <w:bottom w:val="single" w:sz="8" w:color="E4E4E4"/>
            </w:tcBorders>
            <w:shd w:val="clear" w:color="auto" w:fill="E4E4E4"/>
          </w:tcPr>
          <w:p>
            <w:pPr>
              <w:spacing w:after="0"/>
              <w:rPr>
                <w:sz w:val="21"/>
                <w:szCs w:val="21"/>
                <w:color w:val="auto"/>
              </w:rPr>
            </w:pPr>
          </w:p>
        </w:tc>
        <w:tc>
          <w:tcPr>
            <w:tcW w:w="6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20" w:type="dxa"/>
            <w:vAlign w:val="bottom"/>
            <w:tcBorders>
              <w:bottom w:val="single" w:sz="8" w:color="E4E4E4"/>
            </w:tcBorders>
            <w:shd w:val="clear" w:color="auto" w:fill="E4E4E4"/>
          </w:tcPr>
          <w:p>
            <w:pPr>
              <w:spacing w:after="0"/>
              <w:rPr>
                <w:sz w:val="21"/>
                <w:szCs w:val="21"/>
                <w:color w:val="auto"/>
              </w:rPr>
            </w:pPr>
          </w:p>
        </w:tc>
        <w:tc>
          <w:tcPr>
            <w:tcW w:w="6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229"/>
        </w:trPr>
        <w:tc>
          <w:tcPr>
            <w:tcW w:w="45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(117)</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(127)</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1"/>
        </w:trPr>
        <w:tc>
          <w:tcPr>
            <w:tcW w:w="4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the six months ended June 30, 2025, the Company made cash payments totaling $87 million to its U.S. Plans, $22 million to its International Plans, and $73 million to its OPEB Plans. As of June 30, 2025, the Company expects to make total cash contributions of approximately $350 million to these plans in 2025. The Company funds annually, at a minimum, the statutorily required minimum amount for our qualified plans. Non-qualified plans are unfunded and we pay benefits from our cash on hand.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Defined Contribution Plan</w:t>
      </w:r>
    </w:p>
    <w:p>
      <w:pPr>
        <w:spacing w:after="0" w:line="19"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GE HealthCare sponsors a defined contribution plan for its eligible U.S. employees. Expenses associated with our employees’ participation in GE HealthCare’s defined contribution plan were $39 million and $40 million for the three months ended June 30, 2025 and 2024, respectively, and $83 million and $73 million for the six months ended June 30, 2025 and 2024,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7"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Our effective income tax rate was 18.4% and 24.7% for the three months ended June 30, 2025 and 2024, respectively, and 16.6% and 24.5% for the six months ended June 30, 2025 and 2024, respectively. The tax rate for the three months ended June 30, 2025 is lower than the U.S. statutory rate primarily due to the use of tax attributes from updating our global structure following the Spin-Off and research and development (“R&amp;D”) benefits, partially offset by withholding taxes, geographic earnings mix, and state taxes. The tax rate for the six months ended June 30, 2025 is lower than the U.S. statutory rate primarily due to the release of income tax reserves in a foreign jurisdiction for tax years which are no longer subject to an assessment from the local taxing authorities, the use of tax attributes from updating our global structure following the Spin-Off, the remeasurement gain that was recorded due to the NMP acquisition which is not taxable, and R&amp;D benefits, partially offset by withholding taxes, geographic earnings mix, and state taxes. The tax rate for the three and six months ended June 30, 2024 is higher than the U.S. statutory rate primarily due to withholding taxes, geographic earnings mix, and state taxes, partially offset by R&amp;D benefits.</w:t>
      </w:r>
    </w:p>
    <w:p>
      <w:pPr>
        <w:spacing w:after="0" w:line="5"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The Company is currently being audited in a number of jurisdictions for tax years 2004-2023, including China, France, Germany, India, Japan, Norway, the United Kingdom, and the United States.</w:t>
      </w:r>
    </w:p>
    <w:p>
      <w:pPr>
        <w:spacing w:after="0" w:line="185"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On July 4, 2025, the President signed into law the One Big Beautiful Bill Act (“OBBBA”), which includes significant changes to the U.S. federal income tax system. The Company has evaluated the income tax impact of the OBBBA on its financial statements. As the OBBBA was enacted after the end of the Company’s reporting period but before the issuance of these financial statements, the Company has not recorded any adjustments related to the OBBBA in the period ended June 30, 2025. The Company does not expect that the OBBBA will have a material impact on our income taxes within our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ACCUMULATED OTHER COMPREHENSIVE INCOME (LOSS) </w:t>
      </w:r>
      <w:r>
        <w:rPr>
          <w:rFonts w:ascii="Arial" w:cs="Arial" w:eastAsia="Arial" w:hAnsi="Arial"/>
          <w:sz w:val="16"/>
          <w:szCs w:val="16"/>
          <w:color w:val="auto"/>
        </w:rPr>
        <w:t>–</w:t>
      </w:r>
      <w:r>
        <w:rPr>
          <w:rFonts w:ascii="Arial" w:cs="Arial" w:eastAsia="Arial" w:hAnsi="Arial"/>
          <w:sz w:val="16"/>
          <w:szCs w:val="16"/>
          <w:b w:val="1"/>
          <w:bCs w:val="1"/>
          <w:color w:val="auto"/>
        </w:rPr>
        <w:t xml:space="preserve"> NET.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20"/>
                <w:szCs w:val="20"/>
                <w:color w:val="auto"/>
              </w:rPr>
            </w:pPr>
            <w:r>
              <w:rPr>
                <w:rFonts w:ascii="Arial" w:cs="Arial" w:eastAsia="Arial" w:hAnsi="Arial"/>
                <w:sz w:val="16"/>
                <w:szCs w:val="16"/>
                <w:color w:val="auto"/>
              </w:rPr>
              <w:t>Changes in AOCI by component were as follows.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0" w:type="dxa"/>
            <w:vAlign w:val="bottom"/>
            <w:gridSpan w:val="6"/>
          </w:tcPr>
          <w:p>
            <w:pPr>
              <w:jc w:val="right"/>
              <w:ind w:right="39"/>
              <w:spacing w:after="0"/>
              <w:rPr>
                <w:sz w:val="20"/>
                <w:szCs w:val="20"/>
                <w:color w:val="auto"/>
              </w:rPr>
            </w:pPr>
            <w:r>
              <w:rPr>
                <w:rFonts w:ascii="Arial" w:cs="Arial" w:eastAsia="Arial" w:hAnsi="Arial"/>
                <w:sz w:val="16"/>
                <w:szCs w:val="16"/>
                <w:b w:val="1"/>
                <w:bCs w:val="1"/>
                <w:color w:val="454545"/>
              </w:rPr>
              <w:t>For the three months ended June 30, 2025</w:t>
            </w:r>
          </w:p>
        </w:tc>
        <w:tc>
          <w:tcPr>
            <w:tcW w:w="1280" w:type="dxa"/>
            <w:vAlign w:val="bottom"/>
          </w:tcPr>
          <w:p>
            <w:pPr>
              <w:spacing w:after="0"/>
              <w:rPr>
                <w:sz w:val="20"/>
                <w:szCs w:val="20"/>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540" w:type="dxa"/>
            <w:vAlign w:val="bottom"/>
            <w:tcBorders>
              <w:bottom w:val="single" w:sz="8" w:color="454545"/>
            </w:tcBorders>
            <w:gridSpan w:val="2"/>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09"/>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w w:val="99"/>
              </w:rPr>
              <w:t>Currency</w:t>
            </w: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454545"/>
              </w:rPr>
              <w:t>Pension and Other</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rPr>
              <w:t>translation</w:t>
            </w:r>
          </w:p>
        </w:tc>
        <w:tc>
          <w:tcPr>
            <w:tcW w:w="180" w:type="dxa"/>
            <w:vAlign w:val="bottom"/>
          </w:tcPr>
          <w:p>
            <w:pPr>
              <w:spacing w:after="0"/>
              <w:rPr>
                <w:sz w:val="17"/>
                <w:szCs w:val="17"/>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4"/>
        </w:trPr>
        <w:tc>
          <w:tcPr>
            <w:tcW w:w="5200" w:type="dxa"/>
            <w:vAlign w:val="bottom"/>
            <w:tcBorders>
              <w:bottom w:val="single" w:sz="8" w:color="6022A6"/>
            </w:tcBorders>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132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80" w:type="dxa"/>
            <w:vAlign w:val="bottom"/>
            <w:tcBorders>
              <w:bottom w:val="single" w:sz="8" w:color="6022A6"/>
            </w:tcBorders>
          </w:tcPr>
          <w:p>
            <w:pPr>
              <w:spacing w:after="0"/>
              <w:rPr>
                <w:sz w:val="21"/>
                <w:szCs w:val="21"/>
                <w:color w:val="auto"/>
              </w:rPr>
            </w:pPr>
          </w:p>
        </w:tc>
        <w:tc>
          <w:tcPr>
            <w:tcW w:w="136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Plans</w:t>
            </w:r>
          </w:p>
        </w:tc>
        <w:tc>
          <w:tcPr>
            <w:tcW w:w="15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240" w:type="dxa"/>
            <w:vAlign w:val="bottom"/>
            <w:tcBorders>
              <w:bottom w:val="single" w:sz="8" w:color="6022A6"/>
            </w:tcBorders>
          </w:tcPr>
          <w:p>
            <w:pPr>
              <w:spacing w:after="0"/>
              <w:rPr>
                <w:sz w:val="21"/>
                <w:szCs w:val="21"/>
                <w:color w:val="auto"/>
              </w:rPr>
            </w:pPr>
          </w:p>
        </w:tc>
        <w:tc>
          <w:tcPr>
            <w:tcW w:w="128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Total AOCI</w:t>
            </w:r>
          </w:p>
        </w:tc>
      </w:tr>
      <w:tr>
        <w:trPr>
          <w:trHeight w:val="230"/>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March 31, 2025</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(1,717)</w:t>
            </w:r>
          </w:p>
        </w:tc>
        <w:tc>
          <w:tcPr>
            <w:tcW w:w="1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507</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(1,199)</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 – net of</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taxes of $44, $11, and $10</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221</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9"/>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6"/>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$12, and $1</w:t>
            </w:r>
          </w:p>
        </w:tc>
        <w:tc>
          <w:tcPr>
            <w:tcW w:w="160" w:type="dxa"/>
            <w:vAlign w:val="bottom"/>
            <w:tcBorders>
              <w:bottom w:val="single" w:sz="8" w:color="auto"/>
            </w:tcBorders>
            <w:shd w:val="clear" w:color="auto" w:fill="E4E4E4"/>
          </w:tcPr>
          <w:p>
            <w:pPr>
              <w:spacing w:after="0"/>
              <w:rPr>
                <w:sz w:val="22"/>
                <w:szCs w:val="22"/>
                <w:color w:val="auto"/>
              </w:rPr>
            </w:pPr>
          </w:p>
        </w:tc>
        <w:tc>
          <w:tcPr>
            <w:tcW w:w="1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shd w:val="clear" w:color="auto" w:fill="E4E4E4"/>
          </w:tcPr>
          <w:p>
            <w:pPr>
              <w:spacing w:after="0"/>
              <w:rPr>
                <w:sz w:val="22"/>
                <w:szCs w:val="22"/>
                <w:color w:val="auto"/>
              </w:rPr>
            </w:pPr>
          </w:p>
        </w:tc>
        <w:tc>
          <w:tcPr>
            <w:tcW w:w="12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(37)</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221</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108</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9"/>
        </w:trPr>
        <w:tc>
          <w:tcPr>
            <w:tcW w:w="520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2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6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80" w:type="dxa"/>
            <w:vAlign w:val="bottom"/>
            <w:shd w:val="clear" w:color="auto" w:fill="E4E4E4"/>
          </w:tcPr>
          <w:p>
            <w:pPr>
              <w:spacing w:after="0"/>
              <w:rPr>
                <w:sz w:val="18"/>
                <w:szCs w:val="18"/>
                <w:color w:val="auto"/>
              </w:rPr>
            </w:pPr>
          </w:p>
        </w:tc>
      </w:tr>
      <w:tr>
        <w:trPr>
          <w:trHeight w:val="249"/>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1"/>
                <w:szCs w:val="21"/>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(1,495)</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428</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(1,090)</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gridSpan w:val="6"/>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94"/>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0" w:type="dxa"/>
            <w:vAlign w:val="bottom"/>
            <w:gridSpan w:val="6"/>
          </w:tcPr>
          <w:p>
            <w:pPr>
              <w:jc w:val="right"/>
              <w:ind w:right="39"/>
              <w:spacing w:after="0"/>
              <w:rPr>
                <w:sz w:val="20"/>
                <w:szCs w:val="20"/>
                <w:color w:val="auto"/>
              </w:rPr>
            </w:pPr>
            <w:r>
              <w:rPr>
                <w:rFonts w:ascii="Arial" w:cs="Arial" w:eastAsia="Arial" w:hAnsi="Arial"/>
                <w:sz w:val="16"/>
                <w:szCs w:val="16"/>
                <w:b w:val="1"/>
                <w:bCs w:val="1"/>
                <w:color w:val="454545"/>
              </w:rPr>
              <w:t>For the three months ended June 30, 2024</w:t>
            </w:r>
          </w:p>
        </w:tc>
        <w:tc>
          <w:tcPr>
            <w:tcW w:w="1280" w:type="dxa"/>
            <w:vAlign w:val="bottom"/>
          </w:tcPr>
          <w:p>
            <w:pPr>
              <w:spacing w:after="0"/>
              <w:rPr>
                <w:sz w:val="24"/>
                <w:szCs w:val="24"/>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540" w:type="dxa"/>
            <w:vAlign w:val="bottom"/>
            <w:tcBorders>
              <w:bottom w:val="single" w:sz="8" w:color="454545"/>
            </w:tcBorders>
            <w:gridSpan w:val="2"/>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09"/>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w w:val="99"/>
              </w:rPr>
              <w:t>Currency</w:t>
            </w: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454545"/>
              </w:rPr>
              <w:t>Pension and Other</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rPr>
              <w:t>translation</w:t>
            </w:r>
          </w:p>
        </w:tc>
        <w:tc>
          <w:tcPr>
            <w:tcW w:w="180" w:type="dxa"/>
            <w:vAlign w:val="bottom"/>
          </w:tcPr>
          <w:p>
            <w:pPr>
              <w:spacing w:after="0"/>
              <w:rPr>
                <w:sz w:val="17"/>
                <w:szCs w:val="17"/>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4"/>
        </w:trPr>
        <w:tc>
          <w:tcPr>
            <w:tcW w:w="5200" w:type="dxa"/>
            <w:vAlign w:val="bottom"/>
            <w:tcBorders>
              <w:bottom w:val="single" w:sz="8" w:color="6022A6"/>
            </w:tcBorders>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132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80" w:type="dxa"/>
            <w:vAlign w:val="bottom"/>
            <w:tcBorders>
              <w:bottom w:val="single" w:sz="8" w:color="6022A6"/>
            </w:tcBorders>
          </w:tcPr>
          <w:p>
            <w:pPr>
              <w:spacing w:after="0"/>
              <w:rPr>
                <w:sz w:val="21"/>
                <w:szCs w:val="21"/>
                <w:color w:val="auto"/>
              </w:rPr>
            </w:pPr>
          </w:p>
        </w:tc>
        <w:tc>
          <w:tcPr>
            <w:tcW w:w="136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Plans</w:t>
            </w:r>
          </w:p>
        </w:tc>
        <w:tc>
          <w:tcPr>
            <w:tcW w:w="15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240" w:type="dxa"/>
            <w:vAlign w:val="bottom"/>
            <w:tcBorders>
              <w:bottom w:val="single" w:sz="8" w:color="6022A6"/>
            </w:tcBorders>
          </w:tcPr>
          <w:p>
            <w:pPr>
              <w:spacing w:after="0"/>
              <w:rPr>
                <w:sz w:val="21"/>
                <w:szCs w:val="21"/>
                <w:color w:val="auto"/>
              </w:rPr>
            </w:pPr>
          </w:p>
        </w:tc>
        <w:tc>
          <w:tcPr>
            <w:tcW w:w="128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Total AOCI</w:t>
            </w:r>
          </w:p>
        </w:tc>
      </w:tr>
      <w:tr>
        <w:trPr>
          <w:trHeight w:val="230"/>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March 31, 2024</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(1,781)</w:t>
            </w:r>
          </w:p>
        </w:tc>
        <w:tc>
          <w:tcPr>
            <w:tcW w:w="1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997</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(787)</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 – net of</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taxes of $(6), $—, and $(2)</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9"/>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6"/>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$10, and $—</w:t>
            </w:r>
          </w:p>
        </w:tc>
        <w:tc>
          <w:tcPr>
            <w:tcW w:w="160" w:type="dxa"/>
            <w:vAlign w:val="bottom"/>
            <w:tcBorders>
              <w:bottom w:val="single" w:sz="8" w:color="auto"/>
            </w:tcBorders>
            <w:shd w:val="clear" w:color="auto" w:fill="E4E4E4"/>
          </w:tcPr>
          <w:p>
            <w:pPr>
              <w:spacing w:after="0"/>
              <w:rPr>
                <w:sz w:val="22"/>
                <w:szCs w:val="22"/>
                <w:color w:val="auto"/>
              </w:rPr>
            </w:pPr>
          </w:p>
        </w:tc>
        <w:tc>
          <w:tcPr>
            <w:tcW w:w="1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(35)</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4E4E4"/>
          </w:tcPr>
          <w:p>
            <w:pPr>
              <w:spacing w:after="0"/>
              <w:rPr>
                <w:sz w:val="22"/>
                <w:szCs w:val="22"/>
                <w:color w:val="auto"/>
              </w:rPr>
            </w:pPr>
          </w:p>
        </w:tc>
        <w:tc>
          <w:tcPr>
            <w:tcW w:w="12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(36)</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(58)</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9"/>
        </w:trPr>
        <w:tc>
          <w:tcPr>
            <w:tcW w:w="520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2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6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80" w:type="dxa"/>
            <w:vAlign w:val="bottom"/>
            <w:shd w:val="clear" w:color="auto" w:fill="E4E4E4"/>
          </w:tcPr>
          <w:p>
            <w:pPr>
              <w:spacing w:after="0"/>
              <w:rPr>
                <w:sz w:val="18"/>
                <w:szCs w:val="18"/>
                <w:color w:val="auto"/>
              </w:rPr>
            </w:pPr>
          </w:p>
        </w:tc>
      </w:tr>
      <w:tr>
        <w:trPr>
          <w:trHeight w:val="249"/>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1"/>
                <w:szCs w:val="21"/>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(1,812)</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961</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(845)</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gridSpan w:val="5"/>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67"/>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80" w:type="dxa"/>
            <w:vAlign w:val="bottom"/>
            <w:gridSpan w:val="5"/>
          </w:tcPr>
          <w:p>
            <w:pPr>
              <w:spacing w:after="0"/>
              <w:rPr>
                <w:sz w:val="20"/>
                <w:szCs w:val="20"/>
                <w:color w:val="auto"/>
              </w:rPr>
            </w:pPr>
            <w:r>
              <w:rPr>
                <w:rFonts w:ascii="Arial" w:cs="Arial" w:eastAsia="Arial" w:hAnsi="Arial"/>
                <w:sz w:val="16"/>
                <w:szCs w:val="16"/>
                <w:b w:val="1"/>
                <w:bCs w:val="1"/>
                <w:color w:val="454545"/>
              </w:rPr>
              <w:t>For the six months ended June 30, 2025</w:t>
            </w:r>
          </w:p>
        </w:tc>
        <w:tc>
          <w:tcPr>
            <w:tcW w:w="1280" w:type="dxa"/>
            <w:vAlign w:val="bottom"/>
          </w:tcPr>
          <w:p>
            <w:pPr>
              <w:spacing w:after="0"/>
              <w:rPr>
                <w:sz w:val="24"/>
                <w:szCs w:val="24"/>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540" w:type="dxa"/>
            <w:vAlign w:val="bottom"/>
            <w:tcBorders>
              <w:bottom w:val="single" w:sz="8" w:color="454545"/>
            </w:tcBorders>
            <w:gridSpan w:val="2"/>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09"/>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w w:val="99"/>
              </w:rPr>
              <w:t>Currency</w:t>
            </w: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454545"/>
              </w:rPr>
              <w:t>Pension and Other</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rPr>
              <w:t>translation</w:t>
            </w:r>
          </w:p>
        </w:tc>
        <w:tc>
          <w:tcPr>
            <w:tcW w:w="180" w:type="dxa"/>
            <w:vAlign w:val="bottom"/>
          </w:tcPr>
          <w:p>
            <w:pPr>
              <w:spacing w:after="0"/>
              <w:rPr>
                <w:sz w:val="17"/>
                <w:szCs w:val="17"/>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4"/>
        </w:trPr>
        <w:tc>
          <w:tcPr>
            <w:tcW w:w="5200" w:type="dxa"/>
            <w:vAlign w:val="bottom"/>
            <w:tcBorders>
              <w:bottom w:val="single" w:sz="8" w:color="6022A6"/>
            </w:tcBorders>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132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80" w:type="dxa"/>
            <w:vAlign w:val="bottom"/>
            <w:tcBorders>
              <w:bottom w:val="single" w:sz="8" w:color="6022A6"/>
            </w:tcBorders>
          </w:tcPr>
          <w:p>
            <w:pPr>
              <w:spacing w:after="0"/>
              <w:rPr>
                <w:sz w:val="21"/>
                <w:szCs w:val="21"/>
                <w:color w:val="auto"/>
              </w:rPr>
            </w:pPr>
          </w:p>
        </w:tc>
        <w:tc>
          <w:tcPr>
            <w:tcW w:w="136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Plans</w:t>
            </w:r>
          </w:p>
        </w:tc>
        <w:tc>
          <w:tcPr>
            <w:tcW w:w="15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240" w:type="dxa"/>
            <w:vAlign w:val="bottom"/>
            <w:tcBorders>
              <w:bottom w:val="single" w:sz="8" w:color="6022A6"/>
            </w:tcBorders>
          </w:tcPr>
          <w:p>
            <w:pPr>
              <w:spacing w:after="0"/>
              <w:rPr>
                <w:sz w:val="21"/>
                <w:szCs w:val="21"/>
                <w:color w:val="auto"/>
              </w:rPr>
            </w:pPr>
          </w:p>
        </w:tc>
        <w:tc>
          <w:tcPr>
            <w:tcW w:w="128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Total AOCI</w:t>
            </w:r>
          </w:p>
        </w:tc>
      </w:tr>
      <w:tr>
        <w:trPr>
          <w:trHeight w:val="230"/>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2024</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(1,973)</w:t>
            </w:r>
          </w:p>
        </w:tc>
        <w:tc>
          <w:tcPr>
            <w:tcW w:w="1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576</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(1,379)</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 – net of</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taxes of $59, $16, and $14</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415</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9"/>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(2)(3)</w:t>
            </w:r>
            <w:r>
              <w:rPr>
                <w:rFonts w:ascii="Arial" w:cs="Arial" w:eastAsia="Arial" w:hAnsi="Arial"/>
                <w:sz w:val="16"/>
                <w:szCs w:val="16"/>
                <w:color w:val="auto"/>
              </w:rPr>
              <w:t xml:space="preserve"> of $—, $28, and $—</w:t>
            </w:r>
          </w:p>
        </w:tc>
        <w:tc>
          <w:tcPr>
            <w:tcW w:w="160" w:type="dxa"/>
            <w:vAlign w:val="bottom"/>
            <w:tcBorders>
              <w:bottom w:val="single" w:sz="8" w:color="auto"/>
            </w:tcBorders>
            <w:shd w:val="clear" w:color="auto" w:fill="E4E4E4"/>
          </w:tcPr>
          <w:p>
            <w:pPr>
              <w:spacing w:after="0"/>
              <w:rPr>
                <w:sz w:val="22"/>
                <w:szCs w:val="22"/>
                <w:color w:val="auto"/>
              </w:rPr>
            </w:pPr>
          </w:p>
        </w:tc>
        <w:tc>
          <w:tcPr>
            <w:tcW w:w="1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18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(90)</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auto"/>
            </w:tcBorders>
            <w:shd w:val="clear" w:color="auto" w:fill="E4E4E4"/>
          </w:tcPr>
          <w:p>
            <w:pPr>
              <w:spacing w:after="0"/>
              <w:rPr>
                <w:sz w:val="22"/>
                <w:szCs w:val="22"/>
                <w:color w:val="auto"/>
              </w:rPr>
            </w:pPr>
          </w:p>
        </w:tc>
        <w:tc>
          <w:tcPr>
            <w:tcW w:w="12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(20)</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478</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(148)</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288</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9"/>
        </w:trPr>
        <w:tc>
          <w:tcPr>
            <w:tcW w:w="520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2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6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80" w:type="dxa"/>
            <w:vAlign w:val="bottom"/>
            <w:shd w:val="clear" w:color="auto" w:fill="E4E4E4"/>
          </w:tcPr>
          <w:p>
            <w:pPr>
              <w:spacing w:after="0"/>
              <w:rPr>
                <w:sz w:val="18"/>
                <w:szCs w:val="18"/>
                <w:color w:val="auto"/>
              </w:rPr>
            </w:pPr>
          </w:p>
        </w:tc>
      </w:tr>
      <w:tr>
        <w:trPr>
          <w:trHeight w:val="249"/>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1"/>
                <w:szCs w:val="21"/>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(1,495)</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428</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(1,090)</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80" w:type="dxa"/>
            <w:vAlign w:val="bottom"/>
            <w:gridSpan w:val="5"/>
          </w:tcPr>
          <w:p>
            <w:pPr>
              <w:spacing w:after="0"/>
              <w:rPr>
                <w:sz w:val="20"/>
                <w:szCs w:val="20"/>
                <w:color w:val="auto"/>
              </w:rPr>
            </w:pPr>
            <w:r>
              <w:rPr>
                <w:rFonts w:ascii="Arial" w:cs="Arial" w:eastAsia="Arial" w:hAnsi="Arial"/>
                <w:sz w:val="16"/>
                <w:szCs w:val="16"/>
                <w:b w:val="1"/>
                <w:bCs w:val="1"/>
                <w:color w:val="454545"/>
              </w:rPr>
              <w:t>For the six months ended June 30, 2024</w:t>
            </w:r>
          </w:p>
        </w:tc>
        <w:tc>
          <w:tcPr>
            <w:tcW w:w="1280" w:type="dxa"/>
            <w:vAlign w:val="bottom"/>
          </w:tcPr>
          <w:p>
            <w:pPr>
              <w:spacing w:after="0"/>
              <w:rPr>
                <w:sz w:val="19"/>
                <w:szCs w:val="19"/>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540" w:type="dxa"/>
            <w:vAlign w:val="bottom"/>
            <w:tcBorders>
              <w:bottom w:val="single" w:sz="8" w:color="454545"/>
            </w:tcBorders>
            <w:gridSpan w:val="2"/>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09"/>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w w:val="99"/>
              </w:rPr>
              <w:t>Currency</w:t>
            </w: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454545"/>
              </w:rPr>
              <w:t>Pension and Other</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454545"/>
              </w:rPr>
              <w:t>translation</w:t>
            </w:r>
          </w:p>
        </w:tc>
        <w:tc>
          <w:tcPr>
            <w:tcW w:w="18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4"/>
        </w:trPr>
        <w:tc>
          <w:tcPr>
            <w:tcW w:w="5200" w:type="dxa"/>
            <w:vAlign w:val="bottom"/>
            <w:tcBorders>
              <w:bottom w:val="single" w:sz="8" w:color="6022A6"/>
            </w:tcBorders>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132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80" w:type="dxa"/>
            <w:vAlign w:val="bottom"/>
            <w:tcBorders>
              <w:bottom w:val="single" w:sz="8" w:color="6022A6"/>
            </w:tcBorders>
          </w:tcPr>
          <w:p>
            <w:pPr>
              <w:spacing w:after="0"/>
              <w:rPr>
                <w:sz w:val="21"/>
                <w:szCs w:val="21"/>
                <w:color w:val="auto"/>
              </w:rPr>
            </w:pPr>
          </w:p>
        </w:tc>
        <w:tc>
          <w:tcPr>
            <w:tcW w:w="136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Plans</w:t>
            </w:r>
          </w:p>
        </w:tc>
        <w:tc>
          <w:tcPr>
            <w:tcW w:w="15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240" w:type="dxa"/>
            <w:vAlign w:val="bottom"/>
            <w:tcBorders>
              <w:bottom w:val="single" w:sz="8" w:color="6022A6"/>
            </w:tcBorders>
          </w:tcPr>
          <w:p>
            <w:pPr>
              <w:spacing w:after="0"/>
              <w:rPr>
                <w:sz w:val="21"/>
                <w:szCs w:val="21"/>
                <w:color w:val="auto"/>
              </w:rPr>
            </w:pPr>
          </w:p>
        </w:tc>
        <w:tc>
          <w:tcPr>
            <w:tcW w:w="128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Total AOCI</w:t>
            </w:r>
          </w:p>
        </w:tc>
      </w:tr>
      <w:tr>
        <w:trPr>
          <w:trHeight w:val="230"/>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(1,706)</w:t>
            </w:r>
          </w:p>
        </w:tc>
        <w:tc>
          <w:tcPr>
            <w:tcW w:w="18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1,033</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(691)</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 – net of</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taxes of $(14), $(1), and $(7)</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9"/>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$22, and $—</w:t>
            </w:r>
          </w:p>
        </w:tc>
        <w:tc>
          <w:tcPr>
            <w:tcW w:w="160" w:type="dxa"/>
            <w:vAlign w:val="bottom"/>
            <w:tcBorders>
              <w:bottom w:val="single" w:sz="8" w:color="auto"/>
            </w:tcBorders>
            <w:shd w:val="clear" w:color="auto" w:fill="E4E4E4"/>
          </w:tcPr>
          <w:p>
            <w:pPr>
              <w:spacing w:after="0"/>
              <w:rPr>
                <w:sz w:val="22"/>
                <w:szCs w:val="22"/>
                <w:color w:val="auto"/>
              </w:rPr>
            </w:pPr>
          </w:p>
        </w:tc>
        <w:tc>
          <w:tcPr>
            <w:tcW w:w="1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(73)</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4E4E4"/>
          </w:tcPr>
          <w:p>
            <w:pPr>
              <w:spacing w:after="0"/>
              <w:rPr>
                <w:sz w:val="22"/>
                <w:szCs w:val="22"/>
                <w:color w:val="auto"/>
              </w:rPr>
            </w:pPr>
          </w:p>
        </w:tc>
        <w:tc>
          <w:tcPr>
            <w:tcW w:w="12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(73)</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(71)</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(154)</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9"/>
        </w:trPr>
        <w:tc>
          <w:tcPr>
            <w:tcW w:w="520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2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36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280" w:type="dxa"/>
            <w:vAlign w:val="bottom"/>
            <w:shd w:val="clear" w:color="auto" w:fill="E4E4E4"/>
          </w:tcPr>
          <w:p>
            <w:pPr>
              <w:spacing w:after="0"/>
              <w:rPr>
                <w:sz w:val="18"/>
                <w:szCs w:val="18"/>
                <w:color w:val="auto"/>
              </w:rPr>
            </w:pPr>
          </w:p>
        </w:tc>
      </w:tr>
      <w:tr>
        <w:trPr>
          <w:trHeight w:val="249"/>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1"/>
                <w:szCs w:val="21"/>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1"/>
                <w:szCs w:val="21"/>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(1,812)</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961</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(845)</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left="260" w:right="140" w:hanging="252"/>
        <w:spacing w:after="0" w:line="259"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amount of Currency translation adjustments recognized in Other comprehensive income (loss) (“OCI”) during the three and six months ended June 30, 2025 and 2024 included net gains (losses) relating to net investment hedges, as further discussed in Note 12, “Financial Instruments and Fair Value Measurements.”</w:t>
      </w:r>
    </w:p>
    <w:p>
      <w:pPr>
        <w:ind w:left="260" w:right="80" w:hanging="252"/>
        <w:spacing w:after="0" w:line="252"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Reclassifications from AOCI into earnings for Pension and Other Postretirement Plans are recognized within Non-operating benefit (income) costs, while Cash flow hedges are recognized within Cost of products and Cost of services in our Condensed Consolidated Statements of Income.</w:t>
      </w:r>
    </w:p>
    <w:p>
      <w:pPr>
        <w:spacing w:after="0" w:line="1" w:lineRule="exact"/>
        <w:rPr>
          <w:rFonts w:ascii="Arial" w:cs="Arial" w:eastAsia="Arial" w:hAnsi="Arial"/>
          <w:sz w:val="16"/>
          <w:szCs w:val="16"/>
          <w:color w:val="auto"/>
        </w:rPr>
      </w:pPr>
    </w:p>
    <w:p>
      <w:pPr>
        <w:ind w:left="260" w:right="100" w:hanging="252"/>
        <w:spacing w:after="0" w:line="258"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net of tax impact of $63 million of gains to Currency translation adjustments and $8 million of losses to Pension and Other Postretirement Plans related to the derecognition of the prior NMP equity method investment. Refer to Note 7, “Acquisitions, Goodwill, and Other Intangible Assets” for additional information on the NMP acquisition.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w:t>
      </w:r>
    </w:p>
    <w:p>
      <w:pPr>
        <w:spacing w:after="0" w:line="248" w:lineRule="exact"/>
        <w:rPr>
          <w:sz w:val="20"/>
          <w:szCs w:val="20"/>
          <w:color w:val="auto"/>
        </w:rPr>
      </w:pPr>
    </w:p>
    <w:p>
      <w:pPr>
        <w:jc w:val="both"/>
        <w:ind w:right="140"/>
        <w:spacing w:after="0" w:line="271" w:lineRule="auto"/>
        <w:rPr>
          <w:sz w:val="20"/>
          <w:szCs w:val="20"/>
          <w:color w:val="auto"/>
        </w:rPr>
      </w:pPr>
      <w:r>
        <w:rPr>
          <w:rFonts w:ascii="Arial" w:cs="Arial" w:eastAsia="Arial" w:hAnsi="Arial"/>
          <w:sz w:val="16"/>
          <w:szCs w:val="16"/>
          <w:color w:val="auto"/>
        </w:rPr>
        <w:t>On April 30, 2025, our Board of Directors authorized a share repurchase program (the “repurchase program”) for up to $1,000 million of our common stock. The repurchase program does not have an expiration date, does not obligate the Company to acquire any particular amount of common stock, and may be suspended or terminated at any time at the Company's discretion. During the three months ended June 30, 2025, we repurchased 1.4 million shares under the repurchase program for total consideration of approximately $100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INSTRUMENTS AND 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w:t>
      </w:r>
    </w:p>
    <w:p>
      <w:pPr>
        <w:spacing w:after="0" w:line="26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primary objective in executing and holding derivative contracts is to reduce the volatility of earnings and cash flows associated with risks related to foreign currency exchange rates, interest rates, and equity prices. These derivative contracts reduce, but do not entirely eliminate, the aforementioned risks. Our policy is to use derivative contracts solely for managing risks and not for speculative purposes.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 Hedges</w:t>
      </w:r>
    </w:p>
    <w:p>
      <w:pPr>
        <w:spacing w:after="0" w:line="19"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For derivative instruments designated as cash flow hedges, changes in the fair value of designated hedging instruments are initially recorded as a component of AOCI and subsequently reclassified to earnings in the period in which the hedged transaction affects earnings and to the same financial statement line item impacted by the hedged transaction. As of June 30, 2025, we expect to reclassify $15 million of pre-tax net deferred losses associated with designated cash flow hedges to earnings in the next 12 months, contemporaneously with the impact on earnings of the related hedged transactions.</w:t>
      </w:r>
    </w:p>
    <w:p>
      <w:pPr>
        <w:spacing w:after="0" w:line="219" w:lineRule="exact"/>
        <w:rPr>
          <w:sz w:val="20"/>
          <w:szCs w:val="20"/>
          <w:color w:val="auto"/>
        </w:rPr>
      </w:pPr>
    </w:p>
    <w:p>
      <w:pPr>
        <w:ind w:right="940"/>
        <w:spacing w:after="0" w:line="286" w:lineRule="auto"/>
        <w:rPr>
          <w:sz w:val="20"/>
          <w:szCs w:val="20"/>
          <w:color w:val="auto"/>
        </w:rPr>
      </w:pPr>
      <w:r>
        <w:rPr>
          <w:rFonts w:ascii="Arial" w:cs="Arial" w:eastAsia="Arial" w:hAnsi="Arial"/>
          <w:sz w:val="16"/>
          <w:szCs w:val="16"/>
          <w:color w:val="auto"/>
        </w:rPr>
        <w:t>The cash flows associated with derivatives designated as cash flow hedges are recorded in All other operating activities – net in the Condensed Consolidated Statements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Investment Hedges</w:t>
      </w:r>
    </w:p>
    <w:p>
      <w:pPr>
        <w:spacing w:after="0" w:line="29"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We use cross-currency interest rate swaps and foreign currency forward contracts in combination with foreign currency option contracts to hedge the foreign currency risk associated with our net investment in foreign operations. As of June 30, 2025, these contracts were designated as hedges of our net investment in foreign operations, primarily in Euro and Chinese Renminbi currencies.</w:t>
      </w:r>
    </w:p>
    <w:p>
      <w:pPr>
        <w:spacing w:after="0" w:line="19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cash flows associated with derivatives designated as net investment hedges are recorded in All other investing activities – net in the Condensed Consolidated Statements of Cash Flows. For the six months ended June 30, 2025, All other investing activities – net includes a $178 million payment for the settlement of cross-currency swaps that were designated as net investment hedges. Cash flows from the periodic interest settlements on the cross-currency swaps are recorded in All other operating activities – net in the Condensed Consolidated Statements of Cash Flows.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Hedges</w:t>
      </w:r>
    </w:p>
    <w:p>
      <w:pPr>
        <w:spacing w:after="0" w:line="19"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We use interest rate swaps to hedge the interest rate risk on our fixed rate borrowings. These derivatives are designated as fair value hedges to hedge the changes in fair value due to benchmark interest rate risk of specific designated cash flows of our senior unsecured notes.</w:t>
      </w:r>
    </w:p>
    <w:p>
      <w:pPr>
        <w:spacing w:after="0" w:line="185"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We record the changes in fair value on these swap contracts in Interest and other financial charges – net in our Condensed Consolidated Statements of Income, the same line item where the offsetting change in the fair value of the designated cash flows of the senior unsecured note is recorded as a basis adjustment.</w:t>
      </w:r>
    </w:p>
    <w:p>
      <w:pPr>
        <w:spacing w:after="0" w:line="191"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Cash flows for the periodic interest settlements on the interest rate swaps are recorded in All other operating activities – net in the Condensed Consolidated Statements of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 Not Designated as Hedging Instrument</w:t>
      </w:r>
      <w:r>
        <w:rPr>
          <w:rFonts w:ascii="Arial" w:cs="Arial" w:eastAsia="Arial" w:hAnsi="Arial"/>
          <w:sz w:val="16"/>
          <w:szCs w:val="16"/>
          <w:color w:val="auto"/>
        </w:rPr>
        <w:t>s</w:t>
      </w:r>
    </w:p>
    <w:p>
      <w:pPr>
        <w:spacing w:after="0" w:line="3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also execute derivative instruments, such as foreign currency forward contracts and equity-linked total return swaps, which are not designated as qualifying hedges. These derivatives serve as economic hedges of foreign currency exchange rate and equity price risks. We also identify and record foreign currency-related features in our purchase or sales contracts where the currency is not the local or functional currency of any substantive party to the contract as embedded derivatives.</w:t>
      </w:r>
    </w:p>
    <w:p>
      <w:pPr>
        <w:spacing w:after="0" w:line="21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changes in fair value of derivatives not designated in qualifying hedge transactions are recorded in Cost of products, Cost of services, Selling, general, and administrative (“SG&amp;A”), and Other (income) expense – net in the Condensed Consolidated Statements of Income based on the nature of the underlying hedged transaction. Changes in fair value of embedded derivatives are recognized in Other (income) expense – net in the Condensed Consolidated Statements of Income.</w:t>
      </w:r>
    </w:p>
    <w:p>
      <w:pPr>
        <w:spacing w:after="0" w:line="20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cash flows associated with derivatives not designated but used as economic hedges are recorded, based on the nature of the underlying hedged transaction, in All other operating activities – net and All other investing activities – net in the Condensed Consolidated Statements of Cash Flows. The cash flows related to embedded derivatives are included in All other operating activities – net in the Condensed Consolidated Statements of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gross fair values of our outstanding derivative instruments.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Fair Value of Derivatives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June 30, 2025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5"/>
          </w:tcPr>
          <w:p>
            <w:pPr>
              <w:jc w:val="center"/>
              <w:ind w:right="7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gridSpan w:val="2"/>
          </w:tcPr>
          <w:p>
            <w:pPr>
              <w:spacing w:after="0" w:line="20" w:lineRule="exact"/>
              <w:rPr>
                <w:sz w:val="1"/>
                <w:szCs w:val="1"/>
                <w:color w:val="auto"/>
              </w:rPr>
            </w:pPr>
          </w:p>
        </w:tc>
        <w:tc>
          <w:tcPr>
            <w:tcW w:w="1000" w:type="dxa"/>
            <w:vAlign w:val="bottom"/>
            <w:tcBorders>
              <w:bottom w:val="single" w:sz="8" w:color="454545"/>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1060" w:type="dxa"/>
            <w:vAlign w:val="bottom"/>
            <w:tcBorders>
              <w:bottom w:val="single" w:sz="8" w:color="454545"/>
            </w:tcBorders>
            <w:gridSpan w:val="2"/>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454545"/>
              </w:rPr>
              <w:t>Fair Value –</w:t>
            </w:r>
          </w:p>
        </w:tc>
        <w:tc>
          <w:tcPr>
            <w:tcW w:w="16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Fair Value –</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60" w:type="dxa"/>
            <w:vAlign w:val="bottom"/>
          </w:tcPr>
          <w:p>
            <w:pPr>
              <w:jc w:val="center"/>
              <w:ind w:right="119"/>
              <w:spacing w:after="0"/>
              <w:rPr>
                <w:sz w:val="20"/>
                <w:szCs w:val="20"/>
                <w:color w:val="auto"/>
              </w:rPr>
            </w:pPr>
            <w:r>
              <w:rPr>
                <w:rFonts w:ascii="Arial" w:cs="Arial" w:eastAsia="Arial" w:hAnsi="Arial"/>
                <w:sz w:val="16"/>
                <w:szCs w:val="16"/>
                <w:b w:val="1"/>
                <w:bCs w:val="1"/>
                <w:color w:val="454545"/>
              </w:rPr>
              <w:t>Assets</w:t>
            </w:r>
          </w:p>
        </w:tc>
        <w:tc>
          <w:tcPr>
            <w:tcW w:w="10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454545"/>
              </w:rPr>
              <w:t>Liabilities</w:t>
            </w: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4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454545"/>
              </w:rPr>
              <w:t>Liabilities</w:t>
            </w:r>
          </w:p>
        </w:tc>
      </w:tr>
      <w:tr>
        <w:trPr>
          <w:trHeight w:val="21"/>
        </w:trPr>
        <w:tc>
          <w:tcPr>
            <w:tcW w:w="49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1,632</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accounted for as cash flow hedges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1,632</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1,210</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0"/>
        </w:trPr>
        <w:tc>
          <w:tcPr>
            <w:tcW w:w="4980" w:type="dxa"/>
            <w:vAlign w:val="bottom"/>
            <w:shd w:val="clear" w:color="auto" w:fill="E4E4E4"/>
          </w:tcPr>
          <w:p>
            <w:pPr>
              <w:ind w:left="20"/>
              <w:spacing w:after="0"/>
              <w:rPr>
                <w:sz w:val="20"/>
                <w:szCs w:val="20"/>
                <w:color w:val="auto"/>
              </w:rPr>
            </w:pPr>
            <w:r>
              <w:rPr>
                <w:rFonts w:ascii="Arial" w:cs="Arial" w:eastAsia="Arial" w:hAnsi="Arial"/>
                <w:sz w:val="16"/>
                <w:szCs w:val="16"/>
                <w:color w:val="auto"/>
              </w:rPr>
              <w:t>Cross-currency swaps</w:t>
            </w:r>
            <w:r>
              <w:rPr>
                <w:rFonts w:ascii="Arial" w:cs="Arial" w:eastAsia="Arial" w:hAnsi="Arial"/>
                <w:sz w:val="21"/>
                <w:szCs w:val="21"/>
                <w:color w:val="auto"/>
                <w:vertAlign w:val="superscript"/>
              </w:rPr>
              <w:t>(1)</w:t>
            </w:r>
          </w:p>
        </w:tc>
        <w:tc>
          <w:tcPr>
            <w:tcW w:w="160" w:type="dxa"/>
            <w:vAlign w:val="bottom"/>
            <w:shd w:val="clear" w:color="auto" w:fill="E4E4E4"/>
          </w:tcPr>
          <w:p>
            <w:pPr>
              <w:spacing w:after="0"/>
              <w:rPr>
                <w:sz w:val="21"/>
                <w:szCs w:val="21"/>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2,574</w:t>
            </w:r>
          </w:p>
        </w:tc>
        <w:tc>
          <w:tcPr>
            <w:tcW w:w="220" w:type="dxa"/>
            <w:vAlign w:val="bottom"/>
            <w:shd w:val="clear" w:color="auto" w:fill="E4E4E4"/>
          </w:tcPr>
          <w:p>
            <w:pPr>
              <w:spacing w:after="0"/>
              <w:rPr>
                <w:sz w:val="21"/>
                <w:szCs w:val="21"/>
                <w:color w:val="auto"/>
              </w:rPr>
            </w:pPr>
          </w:p>
        </w:tc>
        <w:tc>
          <w:tcPr>
            <w:tcW w:w="86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E4E4E4"/>
          </w:tcPr>
          <w:p>
            <w:pPr>
              <w:spacing w:after="0"/>
              <w:rPr>
                <w:sz w:val="21"/>
                <w:szCs w:val="21"/>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114</w:t>
            </w:r>
          </w:p>
        </w:tc>
        <w:tc>
          <w:tcPr>
            <w:tcW w:w="8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1,995</w:t>
            </w:r>
          </w:p>
        </w:tc>
        <w:tc>
          <w:tcPr>
            <w:tcW w:w="22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46</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2,694</w:t>
            </w:r>
          </w:p>
        </w:tc>
        <w:tc>
          <w:tcPr>
            <w:tcW w:w="2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
        </w:trPr>
        <w:tc>
          <w:tcPr>
            <w:tcW w:w="4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net investment hedges</w:t>
            </w: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5,268</w:t>
            </w:r>
          </w:p>
        </w:tc>
        <w:tc>
          <w:tcPr>
            <w:tcW w:w="22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55</w:t>
            </w:r>
          </w:p>
        </w:tc>
        <w:tc>
          <w:tcPr>
            <w:tcW w:w="10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141</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3,726</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w:t>
            </w:r>
          </w:p>
        </w:tc>
      </w:tr>
      <w:tr>
        <w:trPr>
          <w:trHeight w:val="250"/>
        </w:trPr>
        <w:tc>
          <w:tcPr>
            <w:tcW w:w="4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(1)</w:t>
            </w: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2,700</w:t>
            </w: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2,700</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fair value hedges</w:t>
            </w: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2,700</w:t>
            </w:r>
          </w:p>
        </w:tc>
        <w:tc>
          <w:tcPr>
            <w:tcW w:w="22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41</w:t>
            </w:r>
          </w:p>
        </w:tc>
        <w:tc>
          <w:tcPr>
            <w:tcW w:w="10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2,700</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w:t>
            </w:r>
          </w:p>
        </w:tc>
      </w:tr>
      <w:tr>
        <w:trPr>
          <w:trHeight w:val="221"/>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4,093</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3,925</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9"/>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(1) (2)</w:t>
            </w:r>
          </w:p>
        </w:tc>
        <w:tc>
          <w:tcPr>
            <w:tcW w:w="16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362</w:t>
            </w:r>
          </w:p>
        </w:tc>
        <w:tc>
          <w:tcPr>
            <w:tcW w:w="22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auto"/>
            </w:tcBorders>
            <w:shd w:val="clear" w:color="auto" w:fill="E4E4E4"/>
          </w:tcPr>
          <w:p>
            <w:pPr>
              <w:spacing w:after="0"/>
              <w:rPr>
                <w:sz w:val="22"/>
                <w:szCs w:val="22"/>
                <w:color w:val="auto"/>
              </w:rPr>
            </w:pP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auto"/>
            </w:tcBorders>
            <w:shd w:val="clear" w:color="auto" w:fill="E4E4E4"/>
          </w:tcPr>
          <w:p>
            <w:pPr>
              <w:spacing w:after="0"/>
              <w:rPr>
                <w:sz w:val="22"/>
                <w:szCs w:val="22"/>
                <w:color w:val="auto"/>
              </w:rPr>
            </w:pPr>
          </w:p>
        </w:tc>
        <w:tc>
          <w:tcPr>
            <w:tcW w:w="16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370</w:t>
            </w:r>
          </w:p>
        </w:tc>
        <w:tc>
          <w:tcPr>
            <w:tcW w:w="22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47</w:t>
            </w:r>
          </w:p>
        </w:tc>
        <w:tc>
          <w:tcPr>
            <w:tcW w:w="140" w:type="dxa"/>
            <w:vAlign w:val="bottom"/>
            <w:tcBorders>
              <w:bottom w:val="single" w:sz="8" w:color="auto"/>
            </w:tcBorders>
            <w:shd w:val="clear" w:color="auto" w:fill="E4E4E4"/>
          </w:tcPr>
          <w:p>
            <w:pPr>
              <w:spacing w:after="0"/>
              <w:rPr>
                <w:sz w:val="22"/>
                <w:szCs w:val="22"/>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4,455</w:t>
            </w:r>
          </w:p>
        </w:tc>
        <w:tc>
          <w:tcPr>
            <w:tcW w:w="22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64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4,294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29</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derivatives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14,054</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178</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232</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11,930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145</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155</w:t>
            </w:r>
          </w:p>
        </w:tc>
      </w:tr>
      <w:tr>
        <w:trPr>
          <w:trHeight w:val="20"/>
        </w:trPr>
        <w:tc>
          <w:tcPr>
            <w:tcW w:w="4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320" w:hanging="252"/>
        <w:spacing w:after="0" w:line="263"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June 30, 2025, accrued interest is included in the above fair value and is not considered material. As of December 31, 2024, accrued interest is excluded from the above fair value and is not considered material.</w:t>
      </w: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derivatives are comprised of embedded derivatives and derivatives related to equity contracts.</w:t>
      </w:r>
    </w:p>
    <w:p>
      <w:pPr>
        <w:spacing w:after="0" w:line="236"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The following table presents amounts recorded in Long-term borrowings in the Condensed Consolidated Statements of Financial Position related to cumulative basis adjustment for fair value hedges.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4"/>
          </w:tcPr>
          <w:p>
            <w:pPr>
              <w:ind w:left="1000"/>
              <w:spacing w:after="0"/>
              <w:rPr>
                <w:sz w:val="20"/>
                <w:szCs w:val="20"/>
                <w:color w:val="auto"/>
              </w:rPr>
            </w:pPr>
            <w:r>
              <w:rPr>
                <w:rFonts w:ascii="Arial" w:cs="Arial" w:eastAsia="Arial" w:hAnsi="Arial"/>
                <w:sz w:val="16"/>
                <w:szCs w:val="16"/>
                <w:b w:val="1"/>
                <w:bCs w:val="1"/>
                <w:color w:val="454545"/>
              </w:rPr>
              <w:t>June 30, 2025</w:t>
            </w:r>
          </w:p>
        </w:tc>
        <w:tc>
          <w:tcPr>
            <w:tcW w:w="120" w:type="dxa"/>
            <w:vAlign w:val="bottom"/>
          </w:tcPr>
          <w:p>
            <w:pPr>
              <w:spacing w:after="0"/>
              <w:rPr>
                <w:sz w:val="19"/>
                <w:szCs w:val="19"/>
                <w:color w:val="auto"/>
              </w:rPr>
            </w:pPr>
          </w:p>
        </w:tc>
        <w:tc>
          <w:tcPr>
            <w:tcW w:w="31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45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tcPr>
          <w:p>
            <w:pPr>
              <w:spacing w:after="0" w:line="20" w:lineRule="exact"/>
              <w:rPr>
                <w:sz w:val="1"/>
                <w:szCs w:val="1"/>
                <w:color w:val="auto"/>
              </w:rPr>
            </w:pPr>
          </w:p>
        </w:tc>
      </w:tr>
      <w:tr>
        <w:trPr>
          <w:trHeight w:val="168"/>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center"/>
              <w:ind w:right="79"/>
              <w:spacing w:after="0" w:line="168" w:lineRule="exact"/>
              <w:rPr>
                <w:sz w:val="20"/>
                <w:szCs w:val="20"/>
                <w:color w:val="auto"/>
              </w:rPr>
            </w:pPr>
            <w:r>
              <w:rPr>
                <w:rFonts w:ascii="Arial" w:cs="Arial" w:eastAsia="Arial" w:hAnsi="Arial"/>
                <w:sz w:val="16"/>
                <w:szCs w:val="16"/>
                <w:b w:val="1"/>
                <w:bCs w:val="1"/>
                <w:color w:val="454545"/>
              </w:rPr>
              <w:t>Cumulative basis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454545"/>
              </w:rPr>
              <w:t>adjustment included</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454545"/>
              </w:rPr>
              <w:t>Cumulative basis</w:t>
            </w:r>
          </w:p>
        </w:tc>
      </w:tr>
      <w:tr>
        <w:trPr>
          <w:trHeight w:val="175"/>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454545"/>
              </w:rPr>
              <w:t>in the carrying</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adjustment included</w:t>
            </w:r>
          </w:p>
        </w:tc>
      </w:tr>
      <w:tr>
        <w:trPr>
          <w:trHeight w:val="240"/>
        </w:trPr>
        <w:tc>
          <w:tcPr>
            <w:tcW w:w="4580" w:type="dxa"/>
            <w:vAlign w:val="bottom"/>
            <w:tcBorders>
              <w:bottom w:val="single" w:sz="8" w:color="6022A6"/>
            </w:tcBorders>
          </w:tcPr>
          <w:p>
            <w:pPr>
              <w:spacing w:after="0"/>
              <w:rPr>
                <w:sz w:val="20"/>
                <w:szCs w:val="20"/>
                <w:color w:val="auto"/>
              </w:rPr>
            </w:pPr>
          </w:p>
        </w:tc>
        <w:tc>
          <w:tcPr>
            <w:tcW w:w="120" w:type="dxa"/>
            <w:vAlign w:val="bottom"/>
            <w:tcBorders>
              <w:bottom w:val="single" w:sz="8" w:color="6022A6"/>
            </w:tcBorders>
          </w:tcPr>
          <w:p>
            <w:pPr>
              <w:spacing w:after="0"/>
              <w:rPr>
                <w:sz w:val="20"/>
                <w:szCs w:val="20"/>
                <w:color w:val="auto"/>
              </w:rPr>
            </w:pPr>
          </w:p>
        </w:tc>
        <w:tc>
          <w:tcPr>
            <w:tcW w:w="136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w w:val="98"/>
              </w:rPr>
              <w:t>Carrying amount</w:t>
            </w:r>
          </w:p>
        </w:tc>
        <w:tc>
          <w:tcPr>
            <w:tcW w:w="200" w:type="dxa"/>
            <w:vAlign w:val="bottom"/>
            <w:tcBorders>
              <w:bottom w:val="single" w:sz="8" w:color="6022A6"/>
            </w:tcBorders>
          </w:tcPr>
          <w:p>
            <w:pPr>
              <w:spacing w:after="0"/>
              <w:rPr>
                <w:sz w:val="20"/>
                <w:szCs w:val="20"/>
                <w:color w:val="auto"/>
              </w:rPr>
            </w:pPr>
          </w:p>
        </w:tc>
        <w:tc>
          <w:tcPr>
            <w:tcW w:w="1680" w:type="dxa"/>
            <w:vAlign w:val="bottom"/>
            <w:tcBorders>
              <w:bottom w:val="single" w:sz="8" w:color="6022A6"/>
            </w:tcBorders>
            <w:gridSpan w:val="2"/>
          </w:tcPr>
          <w:p>
            <w:pPr>
              <w:jc w:val="center"/>
              <w:ind w:right="240"/>
              <w:spacing w:after="0"/>
              <w:rPr>
                <w:sz w:val="20"/>
                <w:szCs w:val="20"/>
                <w:color w:val="auto"/>
              </w:rPr>
            </w:pPr>
            <w:r>
              <w:rPr>
                <w:rFonts w:ascii="Arial" w:cs="Arial" w:eastAsia="Arial" w:hAnsi="Arial"/>
                <w:sz w:val="16"/>
                <w:szCs w:val="16"/>
                <w:b w:val="1"/>
                <w:bCs w:val="1"/>
                <w:color w:val="454545"/>
              </w:rPr>
              <w:t>amount</w:t>
            </w:r>
          </w:p>
        </w:tc>
        <w:tc>
          <w:tcPr>
            <w:tcW w:w="120" w:type="dxa"/>
            <w:vAlign w:val="bottom"/>
            <w:tcBorders>
              <w:bottom w:val="single" w:sz="8" w:color="6022A6"/>
            </w:tcBorders>
          </w:tcPr>
          <w:p>
            <w:pPr>
              <w:spacing w:after="0"/>
              <w:rPr>
                <w:sz w:val="20"/>
                <w:szCs w:val="20"/>
                <w:color w:val="auto"/>
              </w:rPr>
            </w:pPr>
          </w:p>
        </w:tc>
        <w:tc>
          <w:tcPr>
            <w:tcW w:w="138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w w:val="99"/>
              </w:rPr>
              <w:t>Carrying amount</w:t>
            </w:r>
          </w:p>
        </w:tc>
        <w:tc>
          <w:tcPr>
            <w:tcW w:w="180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in the carrying amount</w:t>
            </w:r>
          </w:p>
        </w:tc>
      </w:tr>
      <w:tr>
        <w:trPr>
          <w:trHeight w:val="234"/>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 designated in fair value hedges</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2,732</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2,644</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r>
      <w:tr>
        <w:trPr>
          <w:trHeight w:val="20"/>
        </w:trPr>
        <w:tc>
          <w:tcPr>
            <w:tcW w:w="4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Under the master arrangements with the respective counterparties to our derivative contracts, in certain circumstances and subject to applicable requirements, we are allowed to net settle transactions with a single net amount payable by one party to the other. However, we have elected to present the derivative assets and derivative liabilities on a gross basis in our Condensed Consolidated Statements of Financial Position and in the table above.</w:t>
      </w:r>
    </w:p>
    <w:p>
      <w:pPr>
        <w:spacing w:after="0" w:line="197"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As of June 30, 2025 and December 31, 2024, the potential effect of rights of offset associated with the derivative contracts would be an offset to both assets and liabilities by $91 million and $77 million,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pre-tax gains (losses) recognized in OCI associated with the Company’s cash flow and net investment hedges.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gridSpan w:val="3"/>
          </w:tcPr>
          <w:p>
            <w:pPr>
              <w:ind w:left="20"/>
              <w:spacing w:after="0"/>
              <w:rPr>
                <w:sz w:val="20"/>
                <w:szCs w:val="20"/>
                <w:color w:val="auto"/>
              </w:rPr>
            </w:pPr>
            <w:r>
              <w:rPr>
                <w:rFonts w:ascii="Arial" w:cs="Arial" w:eastAsia="Arial" w:hAnsi="Arial"/>
                <w:sz w:val="16"/>
                <w:szCs w:val="16"/>
                <w:b w:val="1"/>
                <w:bCs w:val="1"/>
                <w:color w:val="auto"/>
              </w:rPr>
              <w:t>Pre-tax Gains (Losses) Recognized in OCI Related to Cash Flow and Net Investment Hedges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3"/>
        </w:trPr>
        <w:tc>
          <w:tcPr>
            <w:tcW w:w="4440" w:type="dxa"/>
            <w:vAlign w:val="bottom"/>
          </w:tcPr>
          <w:p>
            <w:pPr>
              <w:spacing w:after="0"/>
              <w:rPr>
                <w:sz w:val="21"/>
                <w:szCs w:val="21"/>
                <w:color w:val="auto"/>
              </w:rPr>
            </w:pPr>
          </w:p>
        </w:tc>
        <w:tc>
          <w:tcPr>
            <w:tcW w:w="31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For the three months ended June 30</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2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4440" w:type="dxa"/>
            <w:vAlign w:val="bottom"/>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19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44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454545"/>
              </w:rPr>
              <w:t>2025</w:t>
            </w:r>
          </w:p>
        </w:tc>
        <w:tc>
          <w:tcPr>
            <w:tcW w:w="194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2025</w:t>
            </w:r>
          </w:p>
        </w:tc>
        <w:tc>
          <w:tcPr>
            <w:tcW w:w="40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2024</w:t>
            </w:r>
          </w:p>
        </w:tc>
      </w:tr>
      <w:tr>
        <w:trPr>
          <w:trHeight w:val="21"/>
        </w:trPr>
        <w:tc>
          <w:tcPr>
            <w:tcW w:w="444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194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42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r>
      <w:tr>
        <w:trPr>
          <w:trHeight w:val="230"/>
        </w:trPr>
        <w:tc>
          <w:tcPr>
            <w:tcW w:w="4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w:t>
            </w:r>
          </w:p>
        </w:tc>
        <w:tc>
          <w:tcPr>
            <w:tcW w:w="1160" w:type="dxa"/>
            <w:vAlign w:val="bottom"/>
            <w:tcBorders>
              <w:bottom w:val="single" w:sz="8" w:color="E4E4E4"/>
            </w:tcBorders>
            <w:shd w:val="clear" w:color="auto" w:fill="E4E4E4"/>
          </w:tcPr>
          <w:p>
            <w:pPr>
              <w:jc w:val="right"/>
              <w:ind w:right="9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E4E4E4"/>
            </w:tcBorders>
            <w:shd w:val="clear" w:color="auto" w:fill="E4E4E4"/>
          </w:tcPr>
          <w:p>
            <w:pPr>
              <w:jc w:val="right"/>
              <w:ind w:right="1219"/>
              <w:spacing w:after="0"/>
              <w:rPr>
                <w:sz w:val="20"/>
                <w:szCs w:val="20"/>
                <w:color w:val="auto"/>
              </w:rPr>
            </w:pPr>
            <w:r>
              <w:rPr>
                <w:rFonts w:ascii="Arial" w:cs="Arial" w:eastAsia="Arial" w:hAnsi="Arial"/>
                <w:sz w:val="16"/>
                <w:szCs w:val="16"/>
                <w:color w:val="auto"/>
              </w:rPr>
              <w:t>(47) $</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11</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r>
      <w:tr>
        <w:trPr>
          <w:trHeight w:val="25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investment hedges</w:t>
            </w:r>
            <w:r>
              <w:rPr>
                <w:rFonts w:ascii="Arial" w:cs="Arial" w:eastAsia="Arial" w:hAnsi="Arial"/>
                <w:sz w:val="21"/>
                <w:szCs w:val="21"/>
                <w:color w:val="auto"/>
                <w:vertAlign w:val="superscript"/>
              </w:rPr>
              <w:t>(1)</w:t>
            </w:r>
          </w:p>
        </w:tc>
        <w:tc>
          <w:tcPr>
            <w:tcW w:w="11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359"/>
              <w:spacing w:after="0"/>
              <w:rPr>
                <w:sz w:val="20"/>
                <w:szCs w:val="20"/>
                <w:color w:val="auto"/>
              </w:rPr>
            </w:pPr>
            <w:r>
              <w:rPr>
                <w:rFonts w:ascii="Arial" w:cs="Arial" w:eastAsia="Arial" w:hAnsi="Arial"/>
                <w:sz w:val="16"/>
                <w:szCs w:val="16"/>
                <w:color w:val="auto"/>
              </w:rPr>
              <w:t>(189)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27</w:t>
            </w: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Amounts recognized in OCI for excluded components for the periods presented were immaterial.</w:t>
      </w:r>
    </w:p>
    <w:p>
      <w:pPr>
        <w:spacing w:after="0" w:line="262"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 tables below present the gains (losses) on our derivative financial instruments and hedging activity in the Condensed Consolidated Statements of Income.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 Financial Instruments and Hedging Activity</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gridSpan w:val="5"/>
          </w:tcPr>
          <w:p>
            <w:pPr>
              <w:jc w:val="center"/>
              <w:ind w:right="359"/>
              <w:spacing w:after="0"/>
              <w:rPr>
                <w:sz w:val="20"/>
                <w:szCs w:val="20"/>
                <w:color w:val="auto"/>
              </w:rPr>
            </w:pPr>
            <w:r>
              <w:rPr>
                <w:rFonts w:ascii="Arial" w:cs="Arial" w:eastAsia="Arial" w:hAnsi="Arial"/>
                <w:sz w:val="16"/>
                <w:szCs w:val="16"/>
                <w:b w:val="1"/>
                <w:bCs w:val="1"/>
                <w:color w:val="454545"/>
              </w:rPr>
              <w:t>For the three months ended June 30, 2025</w:t>
            </w:r>
          </w:p>
        </w:tc>
        <w:tc>
          <w:tcPr>
            <w:tcW w:w="1020" w:type="dxa"/>
            <w:vAlign w:val="bottom"/>
          </w:tcPr>
          <w:p>
            <w:pPr>
              <w:spacing w:after="0"/>
              <w:rPr>
                <w:sz w:val="19"/>
                <w:szCs w:val="19"/>
                <w:color w:val="auto"/>
              </w:rPr>
            </w:pPr>
          </w:p>
        </w:tc>
      </w:tr>
      <w:tr>
        <w:trPr>
          <w:trHeight w:val="21"/>
        </w:trPr>
        <w:tc>
          <w:tcPr>
            <w:tcW w:w="4980" w:type="dxa"/>
            <w:vAlign w:val="bottom"/>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center"/>
              <w:ind w:left="199"/>
              <w:spacing w:after="0"/>
              <w:rPr>
                <w:sz w:val="20"/>
                <w:szCs w:val="20"/>
                <w:color w:val="auto"/>
              </w:rPr>
            </w:pPr>
            <w:r>
              <w:rPr>
                <w:rFonts w:ascii="Arial" w:cs="Arial" w:eastAsia="Arial" w:hAnsi="Arial"/>
                <w:sz w:val="16"/>
                <w:szCs w:val="16"/>
                <w:b w:val="1"/>
                <w:bCs w:val="1"/>
                <w:color w:val="454545"/>
              </w:rPr>
              <w:t>products</w:t>
            </w:r>
          </w:p>
        </w:tc>
        <w:tc>
          <w:tcPr>
            <w:tcW w:w="26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6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center"/>
              <w:ind w:right="179"/>
              <w:spacing w:after="0"/>
              <w:rPr>
                <w:sz w:val="20"/>
                <w:szCs w:val="20"/>
                <w:color w:val="auto"/>
              </w:rPr>
            </w:pPr>
            <w:r>
              <w:rPr>
                <w:rFonts w:ascii="Arial" w:cs="Arial" w:eastAsia="Arial" w:hAnsi="Arial"/>
                <w:sz w:val="16"/>
                <w:szCs w:val="16"/>
                <w:b w:val="1"/>
                <w:bCs w:val="1"/>
                <w:color w:val="454545"/>
                <w:w w:val="99"/>
              </w:rPr>
              <w:t>SG&amp;A</w:t>
            </w:r>
          </w:p>
        </w:tc>
        <w:tc>
          <w:tcPr>
            <w:tcW w:w="1480" w:type="dxa"/>
            <w:vAlign w:val="bottom"/>
            <w:tcBorders>
              <w:bottom w:val="single" w:sz="8" w:color="6022A6"/>
            </w:tcBorders>
            <w:gridSpan w:val="2"/>
          </w:tcPr>
          <w:p>
            <w:pPr>
              <w:jc w:val="center"/>
              <w:ind w:right="15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6</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5</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980" w:type="dxa"/>
            <w:vAlign w:val="bottom"/>
            <w:tcBorders>
              <w:bottom w:val="single" w:sz="8" w:color="auto"/>
            </w:tcBorders>
            <w:shd w:val="clear" w:color="auto" w:fill="E4E4E4"/>
          </w:tcPr>
          <w:p>
            <w:pPr>
              <w:spacing w:after="0"/>
              <w:rPr>
                <w:sz w:val="21"/>
                <w:szCs w:val="21"/>
                <w:color w:val="auto"/>
              </w:rPr>
            </w:pP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shd w:val="clear" w:color="auto" w:fill="E4E4E4"/>
          </w:tcPr>
          <w:p>
            <w:pPr>
              <w:spacing w:after="0"/>
              <w:rPr>
                <w:sz w:val="21"/>
                <w:szCs w:val="21"/>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11</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9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24</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1"/>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9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(28)</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2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5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9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98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w:t>
            </w:r>
          </w:p>
        </w:tc>
        <w:tc>
          <w:tcPr>
            <w:tcW w:w="20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c>
          <w:tcPr>
            <w:tcW w:w="26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r>
      <w:tr>
        <w:trPr>
          <w:trHeight w:val="580"/>
        </w:trPr>
        <w:tc>
          <w:tcPr>
            <w:tcW w:w="49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800" w:type="dxa"/>
            <w:vAlign w:val="bottom"/>
            <w:tcBorders>
              <w:top w:val="single" w:sz="8" w:color="auto"/>
            </w:tcBorders>
            <w:gridSpan w:val="5"/>
          </w:tcPr>
          <w:p>
            <w:pPr>
              <w:jc w:val="center"/>
              <w:ind w:right="359"/>
              <w:spacing w:after="0"/>
              <w:rPr>
                <w:sz w:val="20"/>
                <w:szCs w:val="20"/>
                <w:color w:val="auto"/>
              </w:rPr>
            </w:pPr>
            <w:r>
              <w:rPr>
                <w:rFonts w:ascii="Arial" w:cs="Arial" w:eastAsia="Arial" w:hAnsi="Arial"/>
                <w:sz w:val="16"/>
                <w:szCs w:val="16"/>
                <w:b w:val="1"/>
                <w:bCs w:val="1"/>
                <w:color w:val="454545"/>
              </w:rPr>
              <w:t>For the three months ended June 30, 2024</w:t>
            </w:r>
          </w:p>
        </w:tc>
        <w:tc>
          <w:tcPr>
            <w:tcW w:w="1020" w:type="dxa"/>
            <w:vAlign w:val="bottom"/>
            <w:tcBorders>
              <w:top w:val="single" w:sz="8" w:color="auto"/>
            </w:tcBorders>
          </w:tcPr>
          <w:p>
            <w:pPr>
              <w:spacing w:after="0"/>
              <w:rPr>
                <w:sz w:val="24"/>
                <w:szCs w:val="24"/>
                <w:color w:val="auto"/>
              </w:rPr>
            </w:pPr>
          </w:p>
        </w:tc>
      </w:tr>
      <w:tr>
        <w:trPr>
          <w:trHeight w:val="21"/>
        </w:trPr>
        <w:tc>
          <w:tcPr>
            <w:tcW w:w="4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center"/>
              <w:ind w:left="199"/>
              <w:spacing w:after="0"/>
              <w:rPr>
                <w:sz w:val="20"/>
                <w:szCs w:val="20"/>
                <w:color w:val="auto"/>
              </w:rPr>
            </w:pPr>
            <w:r>
              <w:rPr>
                <w:rFonts w:ascii="Arial" w:cs="Arial" w:eastAsia="Arial" w:hAnsi="Arial"/>
                <w:sz w:val="16"/>
                <w:szCs w:val="16"/>
                <w:b w:val="1"/>
                <w:bCs w:val="1"/>
                <w:color w:val="454545"/>
              </w:rPr>
              <w:t>products</w:t>
            </w:r>
          </w:p>
        </w:tc>
        <w:tc>
          <w:tcPr>
            <w:tcW w:w="26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6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center"/>
              <w:ind w:right="179"/>
              <w:spacing w:after="0"/>
              <w:rPr>
                <w:sz w:val="20"/>
                <w:szCs w:val="20"/>
                <w:color w:val="auto"/>
              </w:rPr>
            </w:pPr>
            <w:r>
              <w:rPr>
                <w:rFonts w:ascii="Arial" w:cs="Arial" w:eastAsia="Arial" w:hAnsi="Arial"/>
                <w:sz w:val="16"/>
                <w:szCs w:val="16"/>
                <w:b w:val="1"/>
                <w:bCs w:val="1"/>
                <w:color w:val="454545"/>
                <w:w w:val="99"/>
              </w:rPr>
              <w:t>SG&amp;A</w:t>
            </w:r>
          </w:p>
        </w:tc>
        <w:tc>
          <w:tcPr>
            <w:tcW w:w="1480" w:type="dxa"/>
            <w:vAlign w:val="bottom"/>
            <w:tcBorders>
              <w:bottom w:val="single" w:sz="8" w:color="6022A6"/>
            </w:tcBorders>
            <w:gridSpan w:val="2"/>
          </w:tcPr>
          <w:p>
            <w:pPr>
              <w:jc w:val="center"/>
              <w:ind w:right="15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4E4E4"/>
            </w:tcBorders>
            <w:gridSpan w:val="2"/>
            <w:shd w:val="clear" w:color="auto" w:fill="E4E4E4"/>
          </w:tcPr>
          <w:p>
            <w:pPr>
              <w:jc w:val="right"/>
              <w:ind w:right="59"/>
              <w:spacing w:after="0"/>
              <w:rPr>
                <w:sz w:val="20"/>
                <w:szCs w:val="20"/>
                <w:color w:val="auto"/>
              </w:rPr>
            </w:pPr>
            <w:r>
              <w:rPr>
                <w:rFonts w:ascii="Arial" w:cs="Arial" w:eastAsia="Arial" w:hAnsi="Arial"/>
                <w:sz w:val="16"/>
                <w:szCs w:val="16"/>
                <w:color w:val="auto"/>
              </w:rPr>
              <w:t>— $</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8</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2</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980" w:type="dxa"/>
            <w:vAlign w:val="bottom"/>
            <w:tcBorders>
              <w:bottom w:val="single" w:sz="8" w:color="auto"/>
            </w:tcBorders>
            <w:shd w:val="clear" w:color="auto" w:fill="E4E4E4"/>
          </w:tcPr>
          <w:p>
            <w:pPr>
              <w:spacing w:after="0"/>
              <w:rPr>
                <w:sz w:val="21"/>
                <w:szCs w:val="21"/>
                <w:color w:val="auto"/>
              </w:rPr>
            </w:pP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shd w:val="clear" w:color="auto" w:fill="E4E4E4"/>
          </w:tcPr>
          <w:p>
            <w:pPr>
              <w:spacing w:after="0"/>
              <w:rPr>
                <w:sz w:val="21"/>
                <w:szCs w:val="21"/>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11</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9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(21)</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1"/>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9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14</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(7)</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9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2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r>
      <w:tr>
        <w:trPr>
          <w:trHeight w:val="20"/>
        </w:trPr>
        <w:tc>
          <w:tcPr>
            <w:tcW w:w="4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80" w:type="dxa"/>
            <w:vAlign w:val="bottom"/>
            <w:gridSpan w:val="5"/>
          </w:tcPr>
          <w:p>
            <w:pPr>
              <w:ind w:left="140"/>
              <w:spacing w:after="0"/>
              <w:rPr>
                <w:sz w:val="20"/>
                <w:szCs w:val="20"/>
                <w:color w:val="auto"/>
              </w:rPr>
            </w:pPr>
            <w:r>
              <w:rPr>
                <w:rFonts w:ascii="Arial" w:cs="Arial" w:eastAsia="Arial" w:hAnsi="Arial"/>
                <w:sz w:val="16"/>
                <w:szCs w:val="16"/>
                <w:b w:val="1"/>
                <w:bCs w:val="1"/>
                <w:color w:val="454545"/>
              </w:rPr>
              <w:t>For the six months ended June 30, 2025</w:t>
            </w:r>
          </w:p>
        </w:tc>
        <w:tc>
          <w:tcPr>
            <w:tcW w:w="1020" w:type="dxa"/>
            <w:vAlign w:val="bottom"/>
          </w:tcPr>
          <w:p>
            <w:pPr>
              <w:spacing w:after="0"/>
              <w:rPr>
                <w:sz w:val="19"/>
                <w:szCs w:val="19"/>
                <w:color w:val="auto"/>
              </w:rPr>
            </w:pPr>
          </w:p>
        </w:tc>
      </w:tr>
      <w:tr>
        <w:trPr>
          <w:trHeight w:val="21"/>
        </w:trPr>
        <w:tc>
          <w:tcPr>
            <w:tcW w:w="4980" w:type="dxa"/>
            <w:vAlign w:val="bottom"/>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ind w:left="140"/>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center"/>
              <w:ind w:left="199"/>
              <w:spacing w:after="0"/>
              <w:rPr>
                <w:sz w:val="20"/>
                <w:szCs w:val="20"/>
                <w:color w:val="auto"/>
              </w:rPr>
            </w:pPr>
            <w:r>
              <w:rPr>
                <w:rFonts w:ascii="Arial" w:cs="Arial" w:eastAsia="Arial" w:hAnsi="Arial"/>
                <w:sz w:val="16"/>
                <w:szCs w:val="16"/>
                <w:b w:val="1"/>
                <w:bCs w:val="1"/>
                <w:color w:val="454545"/>
              </w:rPr>
              <w:t>products</w:t>
            </w:r>
          </w:p>
        </w:tc>
        <w:tc>
          <w:tcPr>
            <w:tcW w:w="260" w:type="dxa"/>
            <w:vAlign w:val="bottom"/>
            <w:tcBorders>
              <w:bottom w:val="single" w:sz="8" w:color="6022A6"/>
            </w:tcBorders>
          </w:tcPr>
          <w:p>
            <w:pPr>
              <w:spacing w:after="0"/>
              <w:rPr>
                <w:sz w:val="21"/>
                <w:szCs w:val="21"/>
                <w:color w:val="auto"/>
              </w:rPr>
            </w:pPr>
          </w:p>
        </w:tc>
        <w:tc>
          <w:tcPr>
            <w:tcW w:w="22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right"/>
              <w:ind w:right="219"/>
              <w:spacing w:after="0"/>
              <w:rPr>
                <w:sz w:val="20"/>
                <w:szCs w:val="20"/>
                <w:color w:val="auto"/>
              </w:rPr>
            </w:pPr>
            <w:r>
              <w:rPr>
                <w:rFonts w:ascii="Arial" w:cs="Arial" w:eastAsia="Arial" w:hAnsi="Arial"/>
                <w:sz w:val="16"/>
                <w:szCs w:val="16"/>
                <w:b w:val="1"/>
                <w:bCs w:val="1"/>
                <w:color w:val="454545"/>
              </w:rPr>
              <w:t>services</w:t>
            </w:r>
          </w:p>
        </w:tc>
        <w:tc>
          <w:tcPr>
            <w:tcW w:w="26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right"/>
              <w:ind w:right="319"/>
              <w:spacing w:after="0"/>
              <w:rPr>
                <w:sz w:val="20"/>
                <w:szCs w:val="20"/>
                <w:color w:val="auto"/>
              </w:rPr>
            </w:pPr>
            <w:r>
              <w:rPr>
                <w:rFonts w:ascii="Arial" w:cs="Arial" w:eastAsia="Arial" w:hAnsi="Arial"/>
                <w:sz w:val="16"/>
                <w:szCs w:val="16"/>
                <w:b w:val="1"/>
                <w:bCs w:val="1"/>
                <w:color w:val="454545"/>
              </w:rPr>
              <w:t>SG&amp;A</w:t>
            </w:r>
          </w:p>
        </w:tc>
        <w:tc>
          <w:tcPr>
            <w:tcW w:w="1480" w:type="dxa"/>
            <w:vAlign w:val="bottom"/>
            <w:tcBorders>
              <w:bottom w:val="single" w:sz="8" w:color="6022A6"/>
            </w:tcBorders>
            <w:gridSpan w:val="2"/>
          </w:tcPr>
          <w:p>
            <w:pPr>
              <w:jc w:val="center"/>
              <w:ind w:right="15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14</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8</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980" w:type="dxa"/>
            <w:vAlign w:val="bottom"/>
            <w:tcBorders>
              <w:bottom w:val="single" w:sz="8" w:color="auto"/>
            </w:tcBorders>
            <w:shd w:val="clear" w:color="auto" w:fill="E4E4E4"/>
          </w:tcPr>
          <w:p>
            <w:pPr>
              <w:spacing w:after="0"/>
              <w:rPr>
                <w:sz w:val="21"/>
                <w:szCs w:val="21"/>
                <w:color w:val="auto"/>
              </w:rPr>
            </w:pP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22</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9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80</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9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(88)</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(8)</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59</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9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98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59</w:t>
            </w:r>
          </w:p>
        </w:tc>
        <w:tc>
          <w:tcPr>
            <w:tcW w:w="22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w:t>
            </w:r>
          </w:p>
        </w:tc>
        <w:tc>
          <w:tcPr>
            <w:tcW w:w="26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r>
      <w:tr>
        <w:trPr>
          <w:trHeight w:val="580"/>
        </w:trPr>
        <w:tc>
          <w:tcPr>
            <w:tcW w:w="49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gridSpan w:val="5"/>
          </w:tcPr>
          <w:p>
            <w:pPr>
              <w:ind w:left="140"/>
              <w:spacing w:after="0"/>
              <w:rPr>
                <w:sz w:val="20"/>
                <w:szCs w:val="20"/>
                <w:color w:val="auto"/>
              </w:rPr>
            </w:pPr>
            <w:r>
              <w:rPr>
                <w:rFonts w:ascii="Arial" w:cs="Arial" w:eastAsia="Arial" w:hAnsi="Arial"/>
                <w:sz w:val="16"/>
                <w:szCs w:val="16"/>
                <w:b w:val="1"/>
                <w:bCs w:val="1"/>
                <w:color w:val="454545"/>
              </w:rPr>
              <w:t>For the six months ended June 30, 2024</w:t>
            </w:r>
          </w:p>
        </w:tc>
        <w:tc>
          <w:tcPr>
            <w:tcW w:w="1020" w:type="dxa"/>
            <w:vAlign w:val="bottom"/>
            <w:tcBorders>
              <w:top w:val="single" w:sz="8" w:color="auto"/>
            </w:tcBorders>
          </w:tcPr>
          <w:p>
            <w:pPr>
              <w:spacing w:after="0"/>
              <w:rPr>
                <w:sz w:val="24"/>
                <w:szCs w:val="24"/>
                <w:color w:val="auto"/>
              </w:rPr>
            </w:pPr>
          </w:p>
        </w:tc>
      </w:tr>
      <w:tr>
        <w:trPr>
          <w:trHeight w:val="21"/>
        </w:trPr>
        <w:tc>
          <w:tcPr>
            <w:tcW w:w="4980" w:type="dxa"/>
            <w:vAlign w:val="bottom"/>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ind w:left="140"/>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center"/>
              <w:ind w:left="199"/>
              <w:spacing w:after="0"/>
              <w:rPr>
                <w:sz w:val="20"/>
                <w:szCs w:val="20"/>
                <w:color w:val="auto"/>
              </w:rPr>
            </w:pPr>
            <w:r>
              <w:rPr>
                <w:rFonts w:ascii="Arial" w:cs="Arial" w:eastAsia="Arial" w:hAnsi="Arial"/>
                <w:sz w:val="16"/>
                <w:szCs w:val="16"/>
                <w:b w:val="1"/>
                <w:bCs w:val="1"/>
                <w:color w:val="454545"/>
              </w:rPr>
              <w:t>products</w:t>
            </w:r>
          </w:p>
        </w:tc>
        <w:tc>
          <w:tcPr>
            <w:tcW w:w="260" w:type="dxa"/>
            <w:vAlign w:val="bottom"/>
            <w:tcBorders>
              <w:bottom w:val="single" w:sz="8" w:color="6022A6"/>
            </w:tcBorders>
          </w:tcPr>
          <w:p>
            <w:pPr>
              <w:spacing w:after="0"/>
              <w:rPr>
                <w:sz w:val="21"/>
                <w:szCs w:val="21"/>
                <w:color w:val="auto"/>
              </w:rPr>
            </w:pPr>
          </w:p>
        </w:tc>
        <w:tc>
          <w:tcPr>
            <w:tcW w:w="22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right"/>
              <w:ind w:right="219"/>
              <w:spacing w:after="0"/>
              <w:rPr>
                <w:sz w:val="20"/>
                <w:szCs w:val="20"/>
                <w:color w:val="auto"/>
              </w:rPr>
            </w:pPr>
            <w:r>
              <w:rPr>
                <w:rFonts w:ascii="Arial" w:cs="Arial" w:eastAsia="Arial" w:hAnsi="Arial"/>
                <w:sz w:val="16"/>
                <w:szCs w:val="16"/>
                <w:b w:val="1"/>
                <w:bCs w:val="1"/>
                <w:color w:val="454545"/>
              </w:rPr>
              <w:t>services</w:t>
            </w:r>
          </w:p>
        </w:tc>
        <w:tc>
          <w:tcPr>
            <w:tcW w:w="26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right"/>
              <w:ind w:right="319"/>
              <w:spacing w:after="0"/>
              <w:rPr>
                <w:sz w:val="20"/>
                <w:szCs w:val="20"/>
                <w:color w:val="auto"/>
              </w:rPr>
            </w:pPr>
            <w:r>
              <w:rPr>
                <w:rFonts w:ascii="Arial" w:cs="Arial" w:eastAsia="Arial" w:hAnsi="Arial"/>
                <w:sz w:val="16"/>
                <w:szCs w:val="16"/>
                <w:b w:val="1"/>
                <w:bCs w:val="1"/>
                <w:color w:val="454545"/>
              </w:rPr>
              <w:t>SG&amp;A</w:t>
            </w:r>
          </w:p>
        </w:tc>
        <w:tc>
          <w:tcPr>
            <w:tcW w:w="1480" w:type="dxa"/>
            <w:vAlign w:val="bottom"/>
            <w:tcBorders>
              <w:bottom w:val="single" w:sz="8" w:color="6022A6"/>
            </w:tcBorders>
            <w:gridSpan w:val="2"/>
          </w:tcPr>
          <w:p>
            <w:pPr>
              <w:jc w:val="center"/>
              <w:ind w:right="15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E4E4E4"/>
            </w:tcBorders>
            <w:gridSpan w:val="2"/>
            <w:shd w:val="clear" w:color="auto" w:fill="E4E4E4"/>
          </w:tcPr>
          <w:p>
            <w:pPr>
              <w:jc w:val="right"/>
              <w:ind w:right="19"/>
              <w:spacing w:after="0"/>
              <w:rPr>
                <w:sz w:val="20"/>
                <w:szCs w:val="20"/>
                <w:color w:val="auto"/>
              </w:rPr>
            </w:pPr>
            <w:r>
              <w:rPr>
                <w:rFonts w:ascii="Arial" w:cs="Arial" w:eastAsia="Arial" w:hAnsi="Arial"/>
                <w:sz w:val="16"/>
                <w:szCs w:val="16"/>
                <w:color w:val="auto"/>
              </w:rPr>
              <w:t>— $</w:t>
            </w:r>
          </w:p>
        </w:tc>
        <w:tc>
          <w:tcPr>
            <w:tcW w:w="1300" w:type="dxa"/>
            <w:vAlign w:val="bottom"/>
            <w:tcBorders>
              <w:bottom w:val="single" w:sz="8" w:color="E4E4E4"/>
            </w:tcBorders>
            <w:gridSpan w:val="2"/>
            <w:shd w:val="clear" w:color="auto" w:fill="E4E4E4"/>
          </w:tcPr>
          <w:p>
            <w:pPr>
              <w:jc w:val="right"/>
              <w:ind w:right="59"/>
              <w:spacing w:after="0"/>
              <w:rPr>
                <w:sz w:val="20"/>
                <w:szCs w:val="20"/>
                <w:color w:val="auto"/>
              </w:rPr>
            </w:pPr>
            <w:r>
              <w:rPr>
                <w:rFonts w:ascii="Arial" w:cs="Arial" w:eastAsia="Arial" w:hAnsi="Arial"/>
                <w:sz w:val="16"/>
                <w:szCs w:val="16"/>
                <w:color w:val="auto"/>
              </w:rPr>
              <w:t>— $</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17</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9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4</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980" w:type="dxa"/>
            <w:vAlign w:val="bottom"/>
            <w:tcBorders>
              <w:bottom w:val="single" w:sz="8" w:color="auto"/>
            </w:tcBorders>
            <w:shd w:val="clear" w:color="auto" w:fill="E4E4E4"/>
          </w:tcPr>
          <w:p>
            <w:pPr>
              <w:spacing w:after="0"/>
              <w:rPr>
                <w:sz w:val="21"/>
                <w:szCs w:val="21"/>
                <w:color w:val="auto"/>
              </w:rPr>
            </w:pPr>
          </w:p>
        </w:tc>
        <w:tc>
          <w:tcPr>
            <w:tcW w:w="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21</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9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(66)</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9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52</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(13)</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9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9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r>
      <w:tr>
        <w:trPr>
          <w:trHeight w:val="20"/>
        </w:trPr>
        <w:tc>
          <w:tcPr>
            <w:tcW w:w="4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40" w:hanging="252"/>
        <w:spacing w:after="0" w:line="256"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fair value related to components other than the spot rate are excluded from effectiveness testing for the three and six months ended June 30, 2025 and 2024.</w:t>
      </w:r>
    </w:p>
    <w:p>
      <w:pPr>
        <w:spacing w:after="0" w:line="1" w:lineRule="exact"/>
        <w:rPr>
          <w:rFonts w:ascii="Arial" w:cs="Arial" w:eastAsia="Arial" w:hAnsi="Arial"/>
          <w:sz w:val="16"/>
          <w:szCs w:val="16"/>
          <w:color w:val="auto"/>
        </w:rPr>
      </w:pPr>
    </w:p>
    <w:p>
      <w:pPr>
        <w:ind w:left="260" w:right="620" w:hanging="252"/>
        <w:spacing w:after="0" w:line="255"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 includes interest expense on interest rate derivatives of $(4) million and $(7) million for the three months ended June 30, 2025 and 2024, respectively, and $(8) million and $(13) million for the six months ended June 30, 2025 and 2024, respectively.</w:t>
      </w: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derivatives are comprised of embedded derivatives and derivatives related to equity contracts.</w:t>
      </w:r>
    </w:p>
    <w:p>
      <w:pPr>
        <w:spacing w:after="0" w:line="14"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are inclusive of gains (losses) in Other (income) expense – net in the Condensed Consolidated Statements of Income.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assets and liabilities that are recorded and measured at fair value on a recurring basis.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gridSpan w:val="4"/>
          </w:tcPr>
          <w:p>
            <w:pPr>
              <w:ind w:left="20"/>
              <w:spacing w:after="0"/>
              <w:rPr>
                <w:sz w:val="20"/>
                <w:szCs w:val="20"/>
                <w:color w:val="auto"/>
              </w:rPr>
            </w:pPr>
            <w:r>
              <w:rPr>
                <w:rFonts w:ascii="Arial" w:cs="Arial" w:eastAsia="Arial" w:hAnsi="Arial"/>
                <w:sz w:val="16"/>
                <w:szCs w:val="16"/>
                <w:b w:val="1"/>
                <w:bCs w:val="1"/>
                <w:color w:val="auto"/>
              </w:rPr>
              <w:t>Fair Value of Assets and Liabilities Measured on a Recurring Basis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6"/>
        </w:trPr>
        <w:tc>
          <w:tcPr>
            <w:tcW w:w="3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92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454545"/>
              </w:rPr>
              <w:t>As of June 30, 2025</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454545"/>
              </w:rPr>
              <w:t>As of December 31, 2024</w:t>
            </w:r>
          </w:p>
        </w:tc>
        <w:tc>
          <w:tcPr>
            <w:tcW w:w="740" w:type="dxa"/>
            <w:vAlign w:val="bottom"/>
          </w:tcPr>
          <w:p>
            <w:pPr>
              <w:spacing w:after="0"/>
              <w:rPr>
                <w:sz w:val="22"/>
                <w:szCs w:val="22"/>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r>
      <w:tr>
        <w:trPr>
          <w:trHeight w:val="229"/>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1</w:t>
            </w: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454545"/>
              </w:rPr>
              <w:t>Level 2</w:t>
            </w:r>
          </w:p>
        </w:tc>
        <w:tc>
          <w:tcPr>
            <w:tcW w:w="180" w:type="dxa"/>
            <w:vAlign w:val="bottom"/>
          </w:tcPr>
          <w:p>
            <w:pPr>
              <w:spacing w:after="0"/>
              <w:rPr>
                <w:sz w:val="19"/>
                <w:szCs w:val="19"/>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454545"/>
              </w:rPr>
              <w:t>Total</w:t>
            </w:r>
          </w:p>
        </w:tc>
        <w:tc>
          <w:tcPr>
            <w:tcW w:w="140" w:type="dxa"/>
            <w:vAlign w:val="bottom"/>
          </w:tcPr>
          <w:p>
            <w:pPr>
              <w:spacing w:after="0"/>
              <w:rPr>
                <w:sz w:val="19"/>
                <w:szCs w:val="19"/>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1</w:t>
            </w: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454545"/>
              </w:rPr>
              <w:t>Level 2</w:t>
            </w:r>
          </w:p>
        </w:tc>
        <w:tc>
          <w:tcPr>
            <w:tcW w:w="160" w:type="dxa"/>
            <w:vAlign w:val="bottom"/>
          </w:tcPr>
          <w:p>
            <w:pPr>
              <w:spacing w:after="0"/>
              <w:rPr>
                <w:sz w:val="19"/>
                <w:szCs w:val="19"/>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r>
      <w:tr>
        <w:trPr>
          <w:trHeight w:val="230"/>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256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312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312</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securities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26</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32</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178</w:t>
            </w:r>
          </w:p>
        </w:tc>
        <w:tc>
          <w:tcPr>
            <w:tcW w:w="180" w:type="dxa"/>
            <w:vAlign w:val="bottom"/>
          </w:tcPr>
          <w:p>
            <w:pPr>
              <w:spacing w:after="0"/>
              <w:rPr>
                <w:sz w:val="19"/>
                <w:szCs w:val="19"/>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145</w:t>
            </w:r>
          </w:p>
        </w:tc>
        <w:tc>
          <w:tcPr>
            <w:tcW w:w="160" w:type="dxa"/>
            <w:vAlign w:val="bottom"/>
          </w:tcPr>
          <w:p>
            <w:pPr>
              <w:spacing w:after="0"/>
              <w:rPr>
                <w:sz w:val="19"/>
                <w:szCs w:val="19"/>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232</w:t>
            </w:r>
          </w:p>
        </w:tc>
        <w:tc>
          <w:tcPr>
            <w:tcW w:w="180" w:type="dxa"/>
            <w:vAlign w:val="bottom"/>
          </w:tcPr>
          <w:p>
            <w:pPr>
              <w:spacing w:after="0"/>
              <w:rPr>
                <w:sz w:val="19"/>
                <w:szCs w:val="19"/>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19"/>
                <w:szCs w:val="19"/>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Contingent consideration</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39</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34</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3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6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606"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equivalents</w:t>
      </w:r>
    </w:p>
    <w:p>
      <w:pPr>
        <w:spacing w:after="0" w:line="1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As of June 30, 2025 and December 31, 2024, Cash, cash equivalents, and restricted cash of $3,763 million and $2,889 million, respectively, included money market funds of $256 million and $312 million, and other cash equivalents of $2,467 million and $1,573 million, respectively. The carrying values of the other cash equivalents approximates the fair value due to their short maturities and are valued using Level 1 or Level 2 inputs. Refer to Note 16, “Supplemental Financial Information” for further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Derivatives are measured at fair value using a discounted cash flow method or option models using interest rates, foreign exchange spot and forward rates and yield curves observable at commonly quoted intervals, implied volatilities, and credit spreads as key inputs. Unobservable inputs relate to our own credit risk which is not significant to the overall measurement of fair value.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1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Contingent consideration is recorded at fair value based on estimates of future cash flows in connection with business acquisitions. As the valuation of these liabilities is based on inputs that are less observable or not observable in the market, the determination of fair value is classified within Level 3 of the fair value hierarchy.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19"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Changes in fair value measurements of assets and liabilities measured at fair value on a non-recurring basis, such as equity method investments, equity investments without readily determinable fair value, financing receivables, and long-lived assets, were not material for the six months ended June 30, 2025 and 2024, with the exception of the gain on fair value measurement of the NMP equity method investment as described in Note 7, “Acquisitions, Goodwill, and Other Intangible Assets.”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other financial instruments</w:t>
      </w:r>
    </w:p>
    <w:p>
      <w:pPr>
        <w:spacing w:after="0" w:line="19"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The estimated fair value of borrowings as of June 30, 2025 and December 31, 2024 was $10,728 million and $9,374 million, respectively, compared to a carrying value (which only includes a reduction for unamortized debt issuance costs and discounts and cumulative basis adjustment) of $10,275 million and $8,951 million, respectively. The fair value of our borrowings includes accrued interest and is determined based on observable and quoted prices and spreads of comparable debt and benchmark securities and is considered Level 2 in the fair value hierarchy. See Note 8, “Borrowings” and Note 16, “Supplemental Financial Information” for further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PRODUCT WARRANTIES, AND OTHER LOSS CONTINGENCIES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248" w:lineRule="exact"/>
        <w:rPr>
          <w:sz w:val="20"/>
          <w:szCs w:val="20"/>
          <w:color w:val="auto"/>
        </w:rPr>
      </w:pPr>
    </w:p>
    <w:p>
      <w:pPr>
        <w:ind w:right="780"/>
        <w:spacing w:after="0" w:line="304" w:lineRule="auto"/>
        <w:rPr>
          <w:sz w:val="20"/>
          <w:szCs w:val="20"/>
          <w:color w:val="auto"/>
        </w:rPr>
      </w:pPr>
      <w:r>
        <w:rPr>
          <w:rFonts w:ascii="Arial" w:cs="Arial" w:eastAsia="Arial" w:hAnsi="Arial"/>
          <w:sz w:val="16"/>
          <w:szCs w:val="16"/>
          <w:color w:val="auto"/>
        </w:rPr>
        <w:t>The Company has off-balance sheet credit exposure through standby letters of credit, bank guarantees, bid bonds, and surety bonds. See Note 8, “Borrowings” for further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WARRANTIES.</w:t>
      </w:r>
    </w:p>
    <w:p>
      <w:pPr>
        <w:spacing w:after="0" w:line="248"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We provide warranty coverage to our customers as part of customary practices in the market to provide assurance that the products we sell comply with agreed-upon specifications. We provide estimated product warranty expenses when we sell the related products. Warranty accruals are estimates that are based on the best available information, mostly historical claims experience, therefore claims costs may differ from amounts provided. An analysis of changes in the liability for product warranties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80" w:type="dxa"/>
            <w:vAlign w:val="bottom"/>
          </w:tcPr>
          <w:p>
            <w:pPr>
              <w:spacing w:after="0"/>
              <w:rPr>
                <w:sz w:val="19"/>
                <w:szCs w:val="19"/>
                <w:color w:val="auto"/>
              </w:rPr>
            </w:pPr>
          </w:p>
        </w:tc>
        <w:tc>
          <w:tcPr>
            <w:tcW w:w="33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454545"/>
              </w:rPr>
              <w:t>For the six months ended June 30</w:t>
            </w:r>
          </w:p>
        </w:tc>
        <w:tc>
          <w:tcPr>
            <w:tcW w:w="500" w:type="dxa"/>
            <w:vAlign w:val="bottom"/>
          </w:tcPr>
          <w:p>
            <w:pPr>
              <w:spacing w:after="0"/>
              <w:rPr>
                <w:sz w:val="19"/>
                <w:szCs w:val="19"/>
                <w:color w:val="auto"/>
              </w:rPr>
            </w:pPr>
          </w:p>
        </w:tc>
      </w:tr>
      <w:tr>
        <w:trPr>
          <w:trHeight w:val="21"/>
        </w:trPr>
        <w:tc>
          <w:tcPr>
            <w:tcW w:w="7380" w:type="dxa"/>
            <w:vAlign w:val="bottom"/>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r>
      <w:tr>
        <w:trPr>
          <w:trHeight w:val="229"/>
        </w:trPr>
        <w:tc>
          <w:tcPr>
            <w:tcW w:w="738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454545"/>
              </w:rPr>
              <w:t>2025</w:t>
            </w:r>
          </w:p>
        </w:tc>
        <w:tc>
          <w:tcPr>
            <w:tcW w:w="580" w:type="dxa"/>
            <w:vAlign w:val="bottom"/>
          </w:tcPr>
          <w:p>
            <w:pPr>
              <w:spacing w:after="0"/>
              <w:rPr>
                <w:sz w:val="19"/>
                <w:szCs w:val="19"/>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2024</w:t>
            </w:r>
          </w:p>
        </w:tc>
        <w:tc>
          <w:tcPr>
            <w:tcW w:w="500" w:type="dxa"/>
            <w:vAlign w:val="bottom"/>
          </w:tcPr>
          <w:p>
            <w:pPr>
              <w:spacing w:after="0"/>
              <w:rPr>
                <w:sz w:val="19"/>
                <w:szCs w:val="19"/>
                <w:color w:val="auto"/>
              </w:rPr>
            </w:pPr>
          </w:p>
        </w:tc>
      </w:tr>
      <w:tr>
        <w:trPr>
          <w:trHeight w:val="21"/>
        </w:trPr>
        <w:tc>
          <w:tcPr>
            <w:tcW w:w="738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500" w:type="dxa"/>
            <w:vAlign w:val="bottom"/>
            <w:tcBorders>
              <w:bottom w:val="single" w:sz="8" w:color="6022A6"/>
            </w:tcBorders>
          </w:tcPr>
          <w:p>
            <w:pPr>
              <w:spacing w:after="0" w:line="20" w:lineRule="exact"/>
              <w:rPr>
                <w:sz w:val="1"/>
                <w:szCs w:val="1"/>
                <w:color w:val="auto"/>
              </w:rPr>
            </w:pPr>
          </w:p>
        </w:tc>
      </w:tr>
      <w:tr>
        <w:trPr>
          <w:trHeight w:val="230"/>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34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168</w:t>
            </w:r>
          </w:p>
        </w:tc>
        <w:tc>
          <w:tcPr>
            <w:tcW w:w="1440" w:type="dxa"/>
            <w:vAlign w:val="bottom"/>
            <w:tcBorders>
              <w:bottom w:val="single" w:sz="8" w:color="E4E4E4"/>
            </w:tcBorders>
            <w:shd w:val="clear" w:color="auto" w:fill="E4E4E4"/>
          </w:tcPr>
          <w:p>
            <w:pPr>
              <w:jc w:val="right"/>
              <w:ind w:right="123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192</w:t>
            </w:r>
          </w:p>
        </w:tc>
      </w:tr>
      <w:tr>
        <w:trPr>
          <w:trHeight w:val="228"/>
        </w:trPr>
        <w:tc>
          <w:tcPr>
            <w:tcW w:w="7380" w:type="dxa"/>
            <w:vAlign w:val="bottom"/>
          </w:tcPr>
          <w:p>
            <w:pPr>
              <w:ind w:left="20"/>
              <w:spacing w:after="0"/>
              <w:rPr>
                <w:sz w:val="20"/>
                <w:szCs w:val="20"/>
                <w:color w:val="auto"/>
              </w:rPr>
            </w:pPr>
            <w:r>
              <w:rPr>
                <w:rFonts w:ascii="Arial" w:cs="Arial" w:eastAsia="Arial" w:hAnsi="Arial"/>
                <w:sz w:val="16"/>
                <w:szCs w:val="16"/>
                <w:color w:val="auto"/>
              </w:rPr>
              <w:t>Current-year provisions</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113</w:t>
            </w:r>
          </w:p>
        </w:tc>
        <w:tc>
          <w:tcPr>
            <w:tcW w:w="1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9"/>
        </w:trPr>
        <w:tc>
          <w:tcPr>
            <w:tcW w:w="7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Expenditures</w:t>
            </w:r>
          </w:p>
        </w:tc>
        <w:tc>
          <w:tcPr>
            <w:tcW w:w="134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(120)</w:t>
            </w:r>
          </w:p>
        </w:tc>
        <w:tc>
          <w:tcPr>
            <w:tcW w:w="144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(112)</w:t>
            </w:r>
          </w:p>
        </w:tc>
      </w:tr>
      <w:tr>
        <w:trPr>
          <w:trHeight w:val="228"/>
        </w:trPr>
        <w:tc>
          <w:tcPr>
            <w:tcW w:w="7380" w:type="dxa"/>
            <w:vAlign w:val="bottom"/>
          </w:tcPr>
          <w:p>
            <w:pPr>
              <w:ind w:left="20"/>
              <w:spacing w:after="0"/>
              <w:rPr>
                <w:sz w:val="20"/>
                <w:szCs w:val="20"/>
                <w:color w:val="auto"/>
              </w:rPr>
            </w:pPr>
            <w:r>
              <w:rPr>
                <w:rFonts w:ascii="Arial" w:cs="Arial" w:eastAsia="Arial" w:hAnsi="Arial"/>
                <w:sz w:val="16"/>
                <w:szCs w:val="16"/>
                <w:color w:val="auto"/>
              </w:rPr>
              <w:t>Foreign currency exchange and other</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1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9"/>
        </w:trPr>
        <w:tc>
          <w:tcPr>
            <w:tcW w:w="7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34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166</w:t>
            </w:r>
          </w:p>
        </w:tc>
        <w:tc>
          <w:tcPr>
            <w:tcW w:w="1440" w:type="dxa"/>
            <w:vAlign w:val="bottom"/>
            <w:tcBorders>
              <w:bottom w:val="single" w:sz="8" w:color="E4E4E4"/>
            </w:tcBorders>
            <w:shd w:val="clear" w:color="auto" w:fill="E4E4E4"/>
          </w:tcPr>
          <w:p>
            <w:pPr>
              <w:jc w:val="right"/>
              <w:ind w:right="123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172</w:t>
            </w:r>
          </w:p>
        </w:tc>
      </w:tr>
      <w:tr>
        <w:trPr>
          <w:trHeight w:val="20"/>
        </w:trPr>
        <w:tc>
          <w:tcPr>
            <w:tcW w:w="7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Product warranties are recognized within All other current liabilities in the Condensed 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MATTERS.</w:t>
      </w:r>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the normal course of our business, we are involved from time to time in various arbitrations; class actions; commercial, intellectual property, and product liability litigation; government investigations; investigations by competition/antitrust authorities; and other legal, regulatory, or governmental actions, including the significant matters described below that could have a material impact on our results of operations and cash flows. In many proceedings, including the specific matters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Contracts with Iraqi Ministry of Health</w:t>
      </w:r>
    </w:p>
    <w:p>
      <w:pPr>
        <w:spacing w:after="0" w:line="1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reversed the District Court’s decision. In February 2022, the defendants requested review of the decision by all of the judges on the U.S. Court of Appeals for the District of Columbia Circuit (the “D.C. Circuit”). In February 2023, the D.C. Circuit denied this request. In June 2023, defendants petitioned the Supreme Court to review the D.C. Circuit’s decision. On June 24, 2024, the Supreme Court vacated the D.C. Circuit’s decision and remanded the case to the D.C. Circuit for further consideration. On November 19, 2024, the D.C. Circuit heard oral argument from the parties, and the D.C. Circuit’s decision is pending. The proceedings in the District Court are currently inactive.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Government Disclosures</w:t>
      </w:r>
    </w:p>
    <w:p>
      <w:pPr>
        <w:spacing w:after="0" w:line="19"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From time to time, we make self-disclosures regarding our compliance with the Foreign Corrupt Practices Act (“FCPA”) and similar laws to relevant authorities who may pursue or decline to pursue enforcement proceedings against us. We, with the assistance of outside counsel, made voluntary self-disclosures to the U.S. Securities and Exchange Commission (“SEC”) and the U.S. Department of Justice (“DOJ”) beginning in 2018 regarding tender irregularities and other potential violations of the FCPA relating to our activities in certain provinces in China. We fully cooperated with the reviews by these agencies and implemented, and continue to implement, enhancements to our compliance policies and practices. We received letters from the SEC on May 16, 2025 and the DOJ on May 28, 2025 closing their respective investigations without further action.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RESTRUCTURING ACTIVITIES</w:t>
      </w:r>
    </w:p>
    <w:p>
      <w:pPr>
        <w:spacing w:after="0" w:line="257"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Restructuring activities are essential to optimize the business operating model for GE HealthCare and mostly involve workforce reductions, organizational realignments, and revisions to our real estate footprint. Specifically, restructuring charges (gains) primarily include facility exit costs, employee-related termination benefits associated with workforce reductions, asset write-downs, and cease-use costs. For segment reporting, restructuring activities are not allocated.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Net expenses for restructuring initiatives committed to by management through June 30, 2025 are included in the table below.</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Pr>
          <w:p>
            <w:pPr>
              <w:spacing w:after="0"/>
              <w:rPr>
                <w:sz w:val="19"/>
                <w:szCs w:val="19"/>
                <w:color w:val="auto"/>
              </w:rPr>
            </w:pPr>
          </w:p>
        </w:tc>
        <w:tc>
          <w:tcPr>
            <w:tcW w:w="322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three months ended June 30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6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4080" w:type="dxa"/>
            <w:vAlign w:val="bottom"/>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46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r>
      <w:tr>
        <w:trPr>
          <w:trHeight w:val="229"/>
        </w:trPr>
        <w:tc>
          <w:tcPr>
            <w:tcW w:w="4080" w:type="dxa"/>
            <w:vAlign w:val="bottom"/>
          </w:tcPr>
          <w:p>
            <w:pPr>
              <w:spacing w:after="0"/>
              <w:rPr>
                <w:sz w:val="19"/>
                <w:szCs w:val="19"/>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2025</w:t>
            </w:r>
          </w:p>
        </w:tc>
        <w:tc>
          <w:tcPr>
            <w:tcW w:w="440" w:type="dxa"/>
            <w:vAlign w:val="bottom"/>
          </w:tcPr>
          <w:p>
            <w:pPr>
              <w:spacing w:after="0"/>
              <w:rPr>
                <w:sz w:val="19"/>
                <w:szCs w:val="19"/>
                <w:color w:val="auto"/>
              </w:rPr>
            </w:pP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599"/>
              <w:spacing w:after="0"/>
              <w:rPr>
                <w:sz w:val="20"/>
                <w:szCs w:val="20"/>
                <w:color w:val="auto"/>
              </w:rPr>
            </w:pPr>
            <w:r>
              <w:rPr>
                <w:rFonts w:ascii="Arial" w:cs="Arial" w:eastAsia="Arial" w:hAnsi="Arial"/>
                <w:sz w:val="16"/>
                <w:szCs w:val="16"/>
                <w:b w:val="1"/>
                <w:bCs w:val="1"/>
                <w:color w:val="454545"/>
              </w:rPr>
              <w:t>2025</w:t>
            </w:r>
          </w:p>
        </w:tc>
        <w:tc>
          <w:tcPr>
            <w:tcW w:w="440" w:type="dxa"/>
            <w:vAlign w:val="bottom"/>
          </w:tcPr>
          <w:p>
            <w:pPr>
              <w:spacing w:after="0"/>
              <w:rPr>
                <w:sz w:val="19"/>
                <w:szCs w:val="19"/>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454545"/>
              </w:rPr>
              <w:t>2024</w:t>
            </w:r>
          </w:p>
        </w:tc>
      </w:tr>
      <w:tr>
        <w:trPr>
          <w:trHeight w:val="21"/>
        </w:trPr>
        <w:tc>
          <w:tcPr>
            <w:tcW w:w="408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r>
      <w:tr>
        <w:trPr>
          <w:trHeight w:val="230"/>
        </w:trPr>
        <w:tc>
          <w:tcPr>
            <w:tcW w:w="4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Employee termination costs</w:t>
            </w:r>
          </w:p>
        </w:tc>
        <w:tc>
          <w:tcPr>
            <w:tcW w:w="1300" w:type="dxa"/>
            <w:vAlign w:val="bottom"/>
            <w:tcBorders>
              <w:bottom w:val="single" w:sz="8" w:color="E4E4E4"/>
            </w:tcBorders>
            <w:shd w:val="clear" w:color="auto" w:fill="E4E4E4"/>
          </w:tcPr>
          <w:p>
            <w:pPr>
              <w:jc w:val="right"/>
              <w:ind w:right="10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1480" w:type="dxa"/>
            <w:vAlign w:val="bottom"/>
            <w:tcBorders>
              <w:bottom w:val="single" w:sz="8" w:color="E4E4E4"/>
            </w:tcBorders>
            <w:shd w:val="clear" w:color="auto" w:fill="E4E4E4"/>
          </w:tcPr>
          <w:p>
            <w:pPr>
              <w:jc w:val="right"/>
              <w:ind w:right="12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w:t>
            </w:r>
          </w:p>
        </w:tc>
      </w:tr>
      <w:tr>
        <w:trPr>
          <w:trHeight w:val="228"/>
        </w:trPr>
        <w:tc>
          <w:tcPr>
            <w:tcW w:w="4080" w:type="dxa"/>
            <w:vAlign w:val="bottom"/>
          </w:tcPr>
          <w:p>
            <w:pPr>
              <w:ind w:left="20"/>
              <w:spacing w:after="0"/>
              <w:rPr>
                <w:sz w:val="20"/>
                <w:szCs w:val="20"/>
                <w:color w:val="auto"/>
              </w:rPr>
            </w:pPr>
            <w:r>
              <w:rPr>
                <w:rFonts w:ascii="Arial" w:cs="Arial" w:eastAsia="Arial" w:hAnsi="Arial"/>
                <w:sz w:val="16"/>
                <w:szCs w:val="16"/>
                <w:color w:val="auto"/>
              </w:rPr>
              <w:t>Facility and other exit costs</w:t>
            </w:r>
          </w:p>
        </w:tc>
        <w:tc>
          <w:tcPr>
            <w:tcW w:w="1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4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9"/>
        </w:trPr>
        <w:tc>
          <w:tcPr>
            <w:tcW w:w="4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1"/>
        </w:trPr>
        <w:tc>
          <w:tcPr>
            <w:tcW w:w="4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Asset write-downs</w:t>
            </w:r>
          </w:p>
        </w:tc>
        <w:tc>
          <w:tcPr>
            <w:tcW w:w="1300" w:type="dxa"/>
            <w:vAlign w:val="bottom"/>
            <w:tcBorders>
              <w:bottom w:val="single" w:sz="8" w:color="E4E4E4"/>
            </w:tcBorders>
            <w:shd w:val="clear" w:color="auto" w:fill="E4E4E4"/>
          </w:tcPr>
          <w:p>
            <w:pPr>
              <w:spacing w:after="0"/>
              <w:rPr>
                <w:sz w:val="22"/>
                <w:szCs w:val="22"/>
                <w:color w:val="auto"/>
              </w:rPr>
            </w:pP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480" w:type="dxa"/>
            <w:vAlign w:val="bottom"/>
            <w:tcBorders>
              <w:bottom w:val="single" w:sz="8" w:color="E4E4E4"/>
            </w:tcBorders>
            <w:shd w:val="clear" w:color="auto" w:fill="E4E4E4"/>
          </w:tcPr>
          <w:p>
            <w:pPr>
              <w:spacing w:after="0"/>
              <w:rPr>
                <w:sz w:val="22"/>
                <w:szCs w:val="22"/>
                <w:color w:val="auto"/>
              </w:rPr>
            </w:pPr>
          </w:p>
        </w:tc>
        <w:tc>
          <w:tcPr>
            <w:tcW w:w="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44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r>
      <w:tr>
        <w:trPr>
          <w:trHeight w:val="229"/>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restructuring activities – net</w:t>
            </w:r>
          </w:p>
        </w:tc>
        <w:tc>
          <w:tcPr>
            <w:tcW w:w="1300" w:type="dxa"/>
            <w:vAlign w:val="bottom"/>
            <w:tcBorders>
              <w:top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1480" w:type="dxa"/>
            <w:vAlign w:val="bottom"/>
            <w:tcBorders>
              <w:top w:val="single" w:sz="8" w:color="auto"/>
            </w:tcBorders>
          </w:tcPr>
          <w:p>
            <w:pPr>
              <w:jc w:val="right"/>
              <w:ind w:right="1259"/>
              <w:spacing w:after="0"/>
              <w:rPr>
                <w:sz w:val="20"/>
                <w:szCs w:val="20"/>
                <w:color w:val="auto"/>
              </w:rPr>
            </w:pPr>
            <w:r>
              <w:rPr>
                <w:rFonts w:ascii="Arial" w:cs="Arial" w:eastAsia="Arial" w:hAnsi="Arial"/>
                <w:sz w:val="16"/>
                <w:szCs w:val="16"/>
                <w:b w:val="1"/>
                <w:bCs w:val="1"/>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w:t>
            </w:r>
          </w:p>
        </w:tc>
        <w:tc>
          <w:tcPr>
            <w:tcW w:w="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68</w:t>
            </w: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These restructuring initiatives are expected to result in additional expenses of approximately $34 million, to be incurred primarily over the next 12 months, substantially related to employee-related termination benefits and asset write-downs. Restructuring expenses (gains) are recognized within Cost of products, Cost of services, or SG&amp;A, as appropriate, in the Condensed Consolidated Statements of Income.</w:t>
      </w:r>
    </w:p>
    <w:p>
      <w:pPr>
        <w:spacing w:after="0" w:line="205" w:lineRule="exact"/>
        <w:rPr>
          <w:sz w:val="20"/>
          <w:szCs w:val="20"/>
          <w:color w:val="auto"/>
        </w:rPr>
      </w:pPr>
    </w:p>
    <w:p>
      <w:pPr>
        <w:jc w:val="both"/>
        <w:ind w:right="560"/>
        <w:spacing w:after="0" w:line="266" w:lineRule="auto"/>
        <w:rPr>
          <w:sz w:val="20"/>
          <w:szCs w:val="20"/>
          <w:color w:val="auto"/>
        </w:rPr>
      </w:pPr>
      <w:r>
        <w:rPr>
          <w:rFonts w:ascii="Arial" w:cs="Arial" w:eastAsia="Arial" w:hAnsi="Arial"/>
          <w:sz w:val="16"/>
          <w:szCs w:val="16"/>
          <w:color w:val="auto"/>
        </w:rPr>
        <w:t>Liabilities related to restructuring are recognized within Current compensation and benefits, All other current liabilities, Non-current compensation and benefits, and All other non-current liabilities in the Condensed Consolidated Statements of Financial Position. The activity related to our restructuring liabilities follows.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454545"/>
              </w:rPr>
              <w:t>Employee</w:t>
            </w:r>
          </w:p>
        </w:tc>
        <w:tc>
          <w:tcPr>
            <w:tcW w:w="1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454545"/>
                <w:w w:val="99"/>
              </w:rPr>
              <w:t>Facility and other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3"/>
        </w:trPr>
        <w:tc>
          <w:tcPr>
            <w:tcW w:w="4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454545"/>
              </w:rPr>
              <w:t>termination costs</w:t>
            </w:r>
          </w:p>
        </w:tc>
        <w:tc>
          <w:tcPr>
            <w:tcW w:w="120" w:type="dxa"/>
            <w:vAlign w:val="bottom"/>
          </w:tcPr>
          <w:p>
            <w:pPr>
              <w:spacing w:after="0"/>
              <w:rPr>
                <w:sz w:val="19"/>
                <w:szCs w:val="19"/>
                <w:color w:val="auto"/>
              </w:rPr>
            </w:pPr>
          </w:p>
        </w:tc>
        <w:tc>
          <w:tcPr>
            <w:tcW w:w="1460" w:type="dxa"/>
            <w:vAlign w:val="bottom"/>
          </w:tcPr>
          <w:p>
            <w:pPr>
              <w:jc w:val="right"/>
              <w:ind w:right="339"/>
              <w:spacing w:after="0"/>
              <w:rPr>
                <w:sz w:val="20"/>
                <w:szCs w:val="20"/>
                <w:color w:val="auto"/>
              </w:rPr>
            </w:pPr>
            <w:r>
              <w:rPr>
                <w:rFonts w:ascii="Arial" w:cs="Arial" w:eastAsia="Arial" w:hAnsi="Arial"/>
                <w:sz w:val="16"/>
                <w:szCs w:val="16"/>
                <w:b w:val="1"/>
                <w:bCs w:val="1"/>
                <w:color w:val="454545"/>
              </w:rPr>
              <w:t>exit costs</w:t>
            </w:r>
          </w:p>
        </w:tc>
        <w:tc>
          <w:tcPr>
            <w:tcW w:w="360" w:type="dxa"/>
            <w:vAlign w:val="bottom"/>
          </w:tcPr>
          <w:p>
            <w:pPr>
              <w:spacing w:after="0"/>
              <w:rPr>
                <w:sz w:val="19"/>
                <w:szCs w:val="19"/>
                <w:color w:val="auto"/>
              </w:rPr>
            </w:pPr>
          </w:p>
        </w:tc>
        <w:tc>
          <w:tcPr>
            <w:tcW w:w="1220" w:type="dxa"/>
            <w:vAlign w:val="bottom"/>
          </w:tcPr>
          <w:p>
            <w:pPr>
              <w:ind w:left="240"/>
              <w:spacing w:after="0"/>
              <w:rPr>
                <w:sz w:val="20"/>
                <w:szCs w:val="20"/>
                <w:color w:val="auto"/>
              </w:rPr>
            </w:pPr>
            <w:r>
              <w:rPr>
                <w:rFonts w:ascii="Arial" w:cs="Arial" w:eastAsia="Arial" w:hAnsi="Arial"/>
                <w:sz w:val="16"/>
                <w:szCs w:val="16"/>
                <w:b w:val="1"/>
                <w:bCs w:val="1"/>
                <w:color w:val="454545"/>
              </w:rPr>
              <w:t>Total</w:t>
            </w:r>
          </w:p>
        </w:tc>
      </w:tr>
      <w:tr>
        <w:trPr>
          <w:trHeight w:val="21"/>
        </w:trPr>
        <w:tc>
          <w:tcPr>
            <w:tcW w:w="4460" w:type="dxa"/>
            <w:vAlign w:val="bottom"/>
            <w:tcBorders>
              <w:bottom w:val="single" w:sz="8" w:color="6022A6"/>
            </w:tcBorders>
          </w:tcPr>
          <w:p>
            <w:pPr>
              <w:spacing w:after="0" w:line="20" w:lineRule="exact"/>
              <w:rPr>
                <w:sz w:val="1"/>
                <w:szCs w:val="1"/>
                <w:color w:val="auto"/>
              </w:rPr>
            </w:pPr>
          </w:p>
        </w:tc>
        <w:tc>
          <w:tcPr>
            <w:tcW w:w="216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r>
      <w:tr>
        <w:trPr>
          <w:trHeight w:val="230"/>
        </w:trPr>
        <w:tc>
          <w:tcPr>
            <w:tcW w:w="4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E4E4E4"/>
            </w:tcBorders>
            <w:shd w:val="clear" w:color="auto" w:fill="E4E4E4"/>
          </w:tcPr>
          <w:p>
            <w:pPr>
              <w:jc w:val="center"/>
              <w:ind w:left="1039"/>
              <w:spacing w:after="0"/>
              <w:rPr>
                <w:sz w:val="20"/>
                <w:szCs w:val="20"/>
                <w:color w:val="auto"/>
              </w:rPr>
            </w:pPr>
            <w:r>
              <w:rPr>
                <w:rFonts w:ascii="Arial" w:cs="Arial" w:eastAsia="Arial" w:hAnsi="Arial"/>
                <w:sz w:val="16"/>
                <w:szCs w:val="16"/>
                <w:b w:val="1"/>
                <w:bCs w:val="1"/>
                <w:color w:val="auto"/>
              </w:rPr>
              <w:t>67</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E4E4E4"/>
            </w:tcBorders>
            <w:shd w:val="clear" w:color="auto" w:fill="E4E4E4"/>
          </w:tcPr>
          <w:p>
            <w:pPr>
              <w:jc w:val="center"/>
              <w:ind w:left="799"/>
              <w:spacing w:after="0"/>
              <w:rPr>
                <w:sz w:val="20"/>
                <w:szCs w:val="20"/>
                <w:color w:val="auto"/>
              </w:rPr>
            </w:pPr>
            <w:r>
              <w:rPr>
                <w:rFonts w:ascii="Arial" w:cs="Arial" w:eastAsia="Arial" w:hAnsi="Arial"/>
                <w:sz w:val="16"/>
                <w:szCs w:val="16"/>
                <w:b w:val="1"/>
                <w:bCs w:val="1"/>
                <w:color w:val="auto"/>
              </w:rPr>
              <w:t>86</w:t>
            </w:r>
          </w:p>
        </w:tc>
      </w:tr>
      <w:tr>
        <w:trPr>
          <w:trHeight w:val="228"/>
        </w:trPr>
        <w:tc>
          <w:tcPr>
            <w:tcW w:w="4460" w:type="dxa"/>
            <w:vAlign w:val="bottom"/>
          </w:tcPr>
          <w:p>
            <w:pPr>
              <w:ind w:left="20"/>
              <w:spacing w:after="0"/>
              <w:rPr>
                <w:sz w:val="20"/>
                <w:szCs w:val="20"/>
                <w:color w:val="auto"/>
              </w:rPr>
            </w:pPr>
            <w:r>
              <w:rPr>
                <w:rFonts w:ascii="Arial" w:cs="Arial" w:eastAsia="Arial" w:hAnsi="Arial"/>
                <w:sz w:val="16"/>
                <w:szCs w:val="16"/>
                <w:color w:val="auto"/>
              </w:rPr>
              <w:t>Charges</w:t>
            </w:r>
          </w:p>
        </w:tc>
        <w:tc>
          <w:tcPr>
            <w:tcW w:w="2160" w:type="dxa"/>
            <w:vAlign w:val="bottom"/>
          </w:tcPr>
          <w:p>
            <w:pPr>
              <w:spacing w:after="0"/>
              <w:rPr>
                <w:sz w:val="19"/>
                <w:szCs w:val="19"/>
                <w:color w:val="auto"/>
              </w:rPr>
            </w:pPr>
          </w:p>
        </w:tc>
        <w:tc>
          <w:tcPr>
            <w:tcW w:w="1460" w:type="dxa"/>
            <w:vAlign w:val="bottom"/>
          </w:tcPr>
          <w:p>
            <w:pPr>
              <w:jc w:val="center"/>
              <w:ind w:left="10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9"/>
                <w:szCs w:val="19"/>
                <w:color w:val="auto"/>
              </w:rPr>
            </w:pPr>
          </w:p>
        </w:tc>
        <w:tc>
          <w:tcPr>
            <w:tcW w:w="1220" w:type="dxa"/>
            <w:vAlign w:val="bottom"/>
          </w:tcPr>
          <w:p>
            <w:pPr>
              <w:jc w:val="center"/>
              <w:ind w:left="799"/>
              <w:spacing w:after="0"/>
              <w:rPr>
                <w:sz w:val="20"/>
                <w:szCs w:val="20"/>
                <w:color w:val="auto"/>
              </w:rPr>
            </w:pPr>
            <w:r>
              <w:rPr>
                <w:rFonts w:ascii="Arial" w:cs="Arial" w:eastAsia="Arial" w:hAnsi="Arial"/>
                <w:sz w:val="16"/>
                <w:szCs w:val="16"/>
                <w:color w:val="auto"/>
              </w:rPr>
              <w:t>32</w:t>
            </w:r>
          </w:p>
        </w:tc>
      </w:tr>
      <w:tr>
        <w:trPr>
          <w:trHeight w:val="29"/>
        </w:trPr>
        <w:tc>
          <w:tcPr>
            <w:tcW w:w="4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2"/>
        </w:trPr>
        <w:tc>
          <w:tcPr>
            <w:tcW w:w="4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Payments and other adjustments</w:t>
            </w:r>
          </w:p>
        </w:tc>
        <w:tc>
          <w:tcPr>
            <w:tcW w:w="216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center"/>
              <w:ind w:left="103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3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center"/>
              <w:ind w:left="799"/>
              <w:spacing w:after="0"/>
              <w:rPr>
                <w:sz w:val="20"/>
                <w:szCs w:val="20"/>
                <w:color w:val="auto"/>
              </w:rPr>
            </w:pPr>
            <w:r>
              <w:rPr>
                <w:rFonts w:ascii="Arial" w:cs="Arial" w:eastAsia="Arial" w:hAnsi="Arial"/>
                <w:sz w:val="16"/>
                <w:szCs w:val="16"/>
                <w:color w:val="auto"/>
              </w:rPr>
              <w:t>(42)</w:t>
            </w:r>
          </w:p>
        </w:tc>
      </w:tr>
      <w:tr>
        <w:trPr>
          <w:trHeight w:val="229"/>
        </w:trPr>
        <w:tc>
          <w:tcPr>
            <w:tcW w:w="4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June 30, 2025</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tcBorders>
          </w:tcPr>
          <w:p>
            <w:pPr>
              <w:jc w:val="center"/>
              <w:ind w:left="1039"/>
              <w:spacing w:after="0"/>
              <w:rPr>
                <w:sz w:val="20"/>
                <w:szCs w:val="20"/>
                <w:color w:val="auto"/>
              </w:rPr>
            </w:pPr>
            <w:r>
              <w:rPr>
                <w:rFonts w:ascii="Arial" w:cs="Arial" w:eastAsia="Arial" w:hAnsi="Arial"/>
                <w:sz w:val="16"/>
                <w:szCs w:val="16"/>
                <w:b w:val="1"/>
                <w:bCs w:val="1"/>
                <w:color w:val="auto"/>
              </w:rPr>
              <w:t>63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tcBorders>
          </w:tcPr>
          <w:p>
            <w:pPr>
              <w:jc w:val="center"/>
              <w:ind w:left="799"/>
              <w:spacing w:after="0"/>
              <w:rPr>
                <w:sz w:val="20"/>
                <w:szCs w:val="20"/>
                <w:color w:val="auto"/>
              </w:rPr>
            </w:pPr>
            <w:r>
              <w:rPr>
                <w:rFonts w:ascii="Arial" w:cs="Arial" w:eastAsia="Arial" w:hAnsi="Arial"/>
                <w:sz w:val="16"/>
                <w:szCs w:val="16"/>
                <w:b w:val="1"/>
                <w:bCs w:val="1"/>
                <w:color w:val="auto"/>
              </w:rPr>
              <w:t>76</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57"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numerator for both basic and diluted earnings per share (“EPS”) is Net income attributable to GE HealthCare. The denominator of basic EPS is the weighted-average number of shares outstanding during the period. The dilutive effect of outstanding stock options, restricted stock units, and performance share units is reflected in the denominator for diluted EPS using the treasury stock method.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3000" w:type="dxa"/>
            <w:vAlign w:val="bottom"/>
            <w:gridSpan w:val="5"/>
          </w:tcPr>
          <w:p>
            <w:pPr>
              <w:ind w:left="60"/>
              <w:spacing w:after="0"/>
              <w:rPr>
                <w:sz w:val="20"/>
                <w:szCs w:val="20"/>
                <w:color w:val="auto"/>
              </w:rPr>
            </w:pPr>
            <w:r>
              <w:rPr>
                <w:rFonts w:ascii="Arial" w:cs="Arial" w:eastAsia="Arial" w:hAnsi="Arial"/>
                <w:sz w:val="16"/>
                <w:szCs w:val="16"/>
                <w:b w:val="1"/>
                <w:bCs w:val="1"/>
                <w:color w:val="454545"/>
              </w:rPr>
              <w:t>For the three months ended June 30</w:t>
            </w:r>
          </w:p>
        </w:tc>
        <w:tc>
          <w:tcPr>
            <w:tcW w:w="140" w:type="dxa"/>
            <w:vAlign w:val="bottom"/>
          </w:tcPr>
          <w:p>
            <w:pPr>
              <w:spacing w:after="0"/>
              <w:rPr>
                <w:sz w:val="20"/>
                <w:szCs w:val="20"/>
                <w:color w:val="auto"/>
              </w:rPr>
            </w:pPr>
          </w:p>
        </w:tc>
        <w:tc>
          <w:tcPr>
            <w:tcW w:w="2800" w:type="dxa"/>
            <w:vAlign w:val="bottom"/>
            <w:gridSpan w:val="3"/>
          </w:tcPr>
          <w:p>
            <w:pPr>
              <w:jc w:val="right"/>
              <w:ind w:right="79"/>
              <w:spacing w:after="0"/>
              <w:rPr>
                <w:sz w:val="20"/>
                <w:szCs w:val="20"/>
                <w:color w:val="auto"/>
              </w:rPr>
            </w:pPr>
            <w:r>
              <w:rPr>
                <w:rFonts w:ascii="Arial" w:cs="Arial" w:eastAsia="Arial" w:hAnsi="Arial"/>
                <w:sz w:val="16"/>
                <w:szCs w:val="16"/>
                <w:b w:val="1"/>
                <w:bCs w:val="1"/>
                <w:color w:val="454545"/>
              </w:rPr>
              <w:t>For the six months ended June 30</w:t>
            </w:r>
          </w:p>
        </w:tc>
        <w:tc>
          <w:tcPr>
            <w:tcW w:w="0" w:type="dxa"/>
            <w:vAlign w:val="bottom"/>
          </w:tcPr>
          <w:p>
            <w:pPr>
              <w:spacing w:after="0"/>
              <w:rPr>
                <w:sz w:val="1"/>
                <w:szCs w:val="1"/>
                <w:color w:val="auto"/>
              </w:rPr>
            </w:pPr>
          </w:p>
        </w:tc>
      </w:tr>
      <w:tr>
        <w:trPr>
          <w:trHeight w:val="21"/>
        </w:trPr>
        <w:tc>
          <w:tcPr>
            <w:tcW w:w="53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32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3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2025</w:t>
            </w:r>
          </w:p>
        </w:tc>
        <w:tc>
          <w:tcPr>
            <w:tcW w:w="32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2025</w:t>
            </w:r>
          </w:p>
        </w:tc>
        <w:tc>
          <w:tcPr>
            <w:tcW w:w="34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2024</w:t>
            </w:r>
          </w:p>
        </w:tc>
        <w:tc>
          <w:tcPr>
            <w:tcW w:w="0" w:type="dxa"/>
            <w:vAlign w:val="bottom"/>
          </w:tcPr>
          <w:p>
            <w:pPr>
              <w:spacing w:after="0"/>
              <w:rPr>
                <w:sz w:val="1"/>
                <w:szCs w:val="1"/>
                <w:color w:val="auto"/>
              </w:rPr>
            </w:pPr>
          </w:p>
        </w:tc>
      </w:tr>
      <w:tr>
        <w:trPr>
          <w:trHeight w:val="21"/>
        </w:trPr>
        <w:tc>
          <w:tcPr>
            <w:tcW w:w="530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500</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1,088</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823</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34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1"/>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attributable to GE HealthCare</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1,049</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9"/>
        </w:trPr>
        <w:tc>
          <w:tcPr>
            <w:tcW w:w="5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132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300" w:type="dxa"/>
            <w:vAlign w:val="bottom"/>
          </w:tcPr>
          <w:p>
            <w:pPr>
              <w:ind w:left="20"/>
              <w:spacing w:after="0"/>
              <w:rPr>
                <w:sz w:val="20"/>
                <w:szCs w:val="20"/>
                <w:color w:val="auto"/>
              </w:rPr>
            </w:pPr>
            <w:r>
              <w:rPr>
                <w:rFonts w:ascii="Arial" w:cs="Arial" w:eastAsia="Arial" w:hAnsi="Arial"/>
                <w:sz w:val="16"/>
                <w:szCs w:val="16"/>
                <w:color w:val="auto"/>
              </w:rPr>
              <w:t>Basic weighted-average shares outstanding</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457</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457</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Dilutive effect of common stock equivalents</w:t>
            </w:r>
          </w:p>
        </w:tc>
        <w:tc>
          <w:tcPr>
            <w:tcW w:w="32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1"/>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Diluted weighted-average shares outstanding</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9"/>
        </w:trPr>
        <w:tc>
          <w:tcPr>
            <w:tcW w:w="5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1.06</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0.94</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2.30</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2.29</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9"/>
        </w:trPr>
        <w:tc>
          <w:tcPr>
            <w:tcW w:w="5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Antidilutive securities</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E4E4E4"/>
          </w:tcPr>
          <w:p>
            <w:pPr>
              <w:spacing w:after="0"/>
              <w:rPr>
                <w:sz w:val="21"/>
                <w:szCs w:val="21"/>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shd w:val="clear" w:color="auto" w:fill="E4E4E4"/>
          </w:tcPr>
          <w:p>
            <w:pPr>
              <w:spacing w:after="0"/>
              <w:rPr>
                <w:sz w:val="21"/>
                <w:szCs w:val="21"/>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auto"/>
            </w:tcBorders>
            <w:shd w:val="clear" w:color="auto" w:fill="E4E4E4"/>
          </w:tcPr>
          <w:p>
            <w:pPr>
              <w:spacing w:after="0"/>
              <w:rPr>
                <w:sz w:val="21"/>
                <w:szCs w:val="21"/>
                <w:color w:val="auto"/>
              </w:rPr>
            </w:pPr>
          </w:p>
        </w:tc>
        <w:tc>
          <w:tcPr>
            <w:tcW w:w="140" w:type="dxa"/>
            <w:vAlign w:val="bottom"/>
            <w:tcBorders>
              <w:bottom w:val="single" w:sz="8" w:color="auto"/>
            </w:tcBorders>
            <w:shd w:val="clear" w:color="auto" w:fill="E4E4E4"/>
          </w:tcPr>
          <w:p>
            <w:pPr>
              <w:spacing w:after="0"/>
              <w:rPr>
                <w:sz w:val="21"/>
                <w:szCs w:val="21"/>
                <w:color w:val="auto"/>
              </w:rPr>
            </w:pPr>
          </w:p>
        </w:tc>
        <w:tc>
          <w:tcPr>
            <w:tcW w:w="13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auto"/>
            </w:tcBorders>
            <w:shd w:val="clear" w:color="auto" w:fill="E4E4E4"/>
          </w:tcPr>
          <w:p>
            <w:pPr>
              <w:spacing w:after="0"/>
              <w:rPr>
                <w:sz w:val="21"/>
                <w:szCs w:val="21"/>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Diluted earnings per share excludes certain shares issuable under share-based compensation plans because the effect would have been antidilutive.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SUPPLEMENTAL FINANCIAL INFORMATION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w:t>
            </w:r>
          </w:p>
        </w:tc>
        <w:tc>
          <w:tcPr>
            <w:tcW w:w="1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7"/>
        </w:trPr>
        <w:tc>
          <w:tcPr>
            <w:tcW w:w="7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152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152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June 30, 2025</w:t>
            </w:r>
          </w:p>
        </w:tc>
        <w:tc>
          <w:tcPr>
            <w:tcW w:w="440" w:type="dxa"/>
            <w:vAlign w:val="bottom"/>
            <w:tcBorders>
              <w:bottom w:val="single" w:sz="8" w:color="6022A6"/>
            </w:tcBorders>
          </w:tcPr>
          <w:p>
            <w:pPr>
              <w:spacing w:after="0"/>
              <w:rPr>
                <w:sz w:val="19"/>
                <w:szCs w:val="19"/>
                <w:color w:val="auto"/>
              </w:rPr>
            </w:pPr>
          </w:p>
        </w:tc>
        <w:tc>
          <w:tcPr>
            <w:tcW w:w="22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53"/>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(1)</w:t>
            </w:r>
          </w:p>
        </w:tc>
        <w:tc>
          <w:tcPr>
            <w:tcW w:w="1520" w:type="dxa"/>
            <w:vAlign w:val="bottom"/>
            <w:shd w:val="clear" w:color="auto" w:fill="E4E4E4"/>
          </w:tcPr>
          <w:p>
            <w:pPr>
              <w:jc w:val="right"/>
              <w:ind w:right="13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E4E4E4"/>
          </w:tcPr>
          <w:p>
            <w:pPr>
              <w:jc w:val="right"/>
              <w:spacing w:after="0"/>
              <w:rPr>
                <w:sz w:val="20"/>
                <w:szCs w:val="20"/>
                <w:color w:val="auto"/>
              </w:rPr>
            </w:pPr>
            <w:r>
              <w:rPr>
                <w:rFonts w:ascii="Arial" w:cs="Arial" w:eastAsia="Arial" w:hAnsi="Arial"/>
                <w:sz w:val="16"/>
                <w:szCs w:val="16"/>
                <w:color w:val="auto"/>
                <w:w w:val="94"/>
              </w:rPr>
              <w:t>3,737</w:t>
            </w:r>
          </w:p>
        </w:tc>
        <w:tc>
          <w:tcPr>
            <w:tcW w:w="2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2,874</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Short-term restricted cash</w:t>
            </w:r>
          </w:p>
        </w:tc>
        <w:tc>
          <w:tcPr>
            <w:tcW w:w="15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9"/>
        </w:trPr>
        <w:tc>
          <w:tcPr>
            <w:tcW w:w="7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9"/>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in the Condensed</w:t>
            </w:r>
          </w:p>
        </w:tc>
        <w:tc>
          <w:tcPr>
            <w:tcW w:w="1520" w:type="dxa"/>
            <w:vAlign w:val="bottom"/>
            <w:shd w:val="clear" w:color="auto" w:fill="E4E4E4"/>
          </w:tcPr>
          <w:p>
            <w:pPr>
              <w:spacing w:after="0"/>
              <w:rPr>
                <w:sz w:val="18"/>
                <w:szCs w:val="18"/>
                <w:color w:val="auto"/>
              </w:rPr>
            </w:pPr>
          </w:p>
        </w:tc>
        <w:tc>
          <w:tcPr>
            <w:tcW w:w="44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24"/>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Statements of Financial Position</w:t>
            </w:r>
          </w:p>
        </w:tc>
        <w:tc>
          <w:tcPr>
            <w:tcW w:w="1520" w:type="dxa"/>
            <w:vAlign w:val="bottom"/>
            <w:tcBorders>
              <w:bottom w:val="single" w:sz="8" w:color="E4E4E4"/>
            </w:tcBorders>
            <w:shd w:val="clear" w:color="auto" w:fill="E4E4E4"/>
          </w:tcPr>
          <w:p>
            <w:pPr>
              <w:spacing w:after="0"/>
              <w:rPr>
                <w:sz w:val="19"/>
                <w:szCs w:val="19"/>
                <w:color w:val="auto"/>
              </w:rPr>
            </w:pP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4"/>
              </w:rPr>
              <w:t>3,763</w:t>
            </w:r>
          </w:p>
        </w:tc>
        <w:tc>
          <w:tcPr>
            <w:tcW w:w="220" w:type="dxa"/>
            <w:vAlign w:val="bottom"/>
            <w:tcBorders>
              <w:bottom w:val="single" w:sz="8" w:color="E4E4E4"/>
            </w:tcBorders>
            <w:shd w:val="clear" w:color="auto" w:fill="E4E4E4"/>
          </w:tcPr>
          <w:p>
            <w:pPr>
              <w:spacing w:after="0"/>
              <w:rPr>
                <w:sz w:val="19"/>
                <w:szCs w:val="19"/>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2,889</w:t>
            </w:r>
          </w:p>
        </w:tc>
      </w:tr>
      <w:tr>
        <w:trPr>
          <w:trHeight w:val="256"/>
        </w:trPr>
        <w:tc>
          <w:tcPr>
            <w:tcW w:w="73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Long-term restricted cash</w:t>
            </w:r>
            <w:r>
              <w:rPr>
                <w:rFonts w:ascii="Arial" w:cs="Arial" w:eastAsia="Arial" w:hAnsi="Arial"/>
                <w:sz w:val="21"/>
                <w:szCs w:val="21"/>
                <w:color w:val="auto"/>
                <w:vertAlign w:val="superscript"/>
              </w:rPr>
              <w:t>(2)</w:t>
            </w:r>
          </w:p>
        </w:tc>
        <w:tc>
          <w:tcPr>
            <w:tcW w:w="15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in the Condensed</w:t>
            </w:r>
          </w:p>
        </w:tc>
        <w:tc>
          <w:tcPr>
            <w:tcW w:w="1520" w:type="dxa"/>
            <w:vAlign w:val="bottom"/>
            <w:shd w:val="clear" w:color="auto" w:fill="E4E4E4"/>
          </w:tcPr>
          <w:p>
            <w:pPr>
              <w:spacing w:after="0"/>
              <w:rPr>
                <w:sz w:val="18"/>
                <w:szCs w:val="18"/>
                <w:color w:val="auto"/>
              </w:rPr>
            </w:pPr>
          </w:p>
        </w:tc>
        <w:tc>
          <w:tcPr>
            <w:tcW w:w="44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24"/>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Statements of Cash Flows</w:t>
            </w:r>
          </w:p>
        </w:tc>
        <w:tc>
          <w:tcPr>
            <w:tcW w:w="1520" w:type="dxa"/>
            <w:vAlign w:val="bottom"/>
            <w:tcBorders>
              <w:bottom w:val="single" w:sz="8" w:color="E4E4E4"/>
            </w:tcBorders>
            <w:shd w:val="clear" w:color="auto" w:fill="E4E4E4"/>
          </w:tcPr>
          <w:p>
            <w:pPr>
              <w:jc w:val="right"/>
              <w:ind w:right="133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4"/>
              </w:rPr>
              <w:t>3,766</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2,893</w:t>
            </w:r>
          </w:p>
        </w:tc>
      </w:tr>
      <w:tr>
        <w:trPr>
          <w:trHeight w:val="20"/>
        </w:trPr>
        <w:tc>
          <w:tcPr>
            <w:tcW w:w="73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220" w:hanging="252"/>
        <w:spacing w:after="0" w:line="265" w:lineRule="auto"/>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increase in Cash and cash equivalents was primarily due to proceeds from the issuance of senior unsecured notes by the Company in the second quarter of 2025. Refer to Note 8, “Borrowings” for further information.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Long-term restricted cash is recognized within All other non-current assets in the Condensed Consolidated Statements of Financial Position.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INVENTORIES.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7"/>
        </w:trPr>
        <w:tc>
          <w:tcPr>
            <w:tcW w:w="7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280" w:type="dxa"/>
            <w:vAlign w:val="bottom"/>
            <w:tcBorders>
              <w:bottom w:val="single" w:sz="8" w:color="6022A6"/>
            </w:tcBorders>
          </w:tcPr>
          <w:p>
            <w:pPr>
              <w:spacing w:after="0"/>
              <w:rPr>
                <w:sz w:val="19"/>
                <w:szCs w:val="19"/>
                <w:color w:val="auto"/>
              </w:rPr>
            </w:pPr>
          </w:p>
        </w:tc>
        <w:tc>
          <w:tcPr>
            <w:tcW w:w="1680" w:type="dxa"/>
            <w:vAlign w:val="bottom"/>
            <w:tcBorders>
              <w:bottom w:val="single" w:sz="8" w:color="6022A6"/>
            </w:tcBorders>
          </w:tcPr>
          <w:p>
            <w:pPr>
              <w:jc w:val="right"/>
              <w:ind w:right="359"/>
              <w:spacing w:after="0"/>
              <w:rPr>
                <w:sz w:val="20"/>
                <w:szCs w:val="20"/>
                <w:color w:val="auto"/>
              </w:rPr>
            </w:pPr>
            <w:r>
              <w:rPr>
                <w:rFonts w:ascii="Arial" w:cs="Arial" w:eastAsia="Arial" w:hAnsi="Arial"/>
                <w:sz w:val="16"/>
                <w:szCs w:val="16"/>
                <w:b w:val="1"/>
                <w:bCs w:val="1"/>
                <w:color w:val="454545"/>
              </w:rPr>
              <w:t>June 30, 2025</w:t>
            </w:r>
          </w:p>
        </w:tc>
        <w:tc>
          <w:tcPr>
            <w:tcW w:w="22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3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Raw materials</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1,026</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921</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93</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9"/>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E4E4E4"/>
            </w:tcBorders>
            <w:shd w:val="clear" w:color="auto" w:fill="E4E4E4"/>
          </w:tcPr>
          <w:p>
            <w:pPr>
              <w:spacing w:after="0"/>
              <w:rPr>
                <w:sz w:val="22"/>
                <w:szCs w:val="22"/>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1,164</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926</w:t>
            </w:r>
          </w:p>
        </w:tc>
      </w:tr>
      <w:tr>
        <w:trPr>
          <w:trHeight w:val="229"/>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Inventories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2,283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1,939</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Certain inventory items are long-term in nature and therefore have been recognized within All other non-current assets in the Condensed Consolidated Statements of Financial Position and are not reflected in the table above. See the supplemental table “All Other Non-Current Assets” for further information.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PROPERTY, PLANT, AND EQUIPMENT – NET.</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7"/>
        </w:trPr>
        <w:tc>
          <w:tcPr>
            <w:tcW w:w="7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7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ind w:right="379"/>
              <w:spacing w:after="0"/>
              <w:rPr>
                <w:sz w:val="20"/>
                <w:szCs w:val="20"/>
                <w:color w:val="auto"/>
              </w:rPr>
            </w:pPr>
            <w:r>
              <w:rPr>
                <w:rFonts w:ascii="Arial" w:cs="Arial" w:eastAsia="Arial" w:hAnsi="Arial"/>
                <w:sz w:val="16"/>
                <w:szCs w:val="16"/>
                <w:b w:val="1"/>
                <w:bCs w:val="1"/>
                <w:color w:val="454545"/>
              </w:rPr>
              <w:t>June 30, 2025</w:t>
            </w:r>
          </w:p>
        </w:tc>
        <w:tc>
          <w:tcPr>
            <w:tcW w:w="220" w:type="dxa"/>
            <w:vAlign w:val="bottom"/>
          </w:tcPr>
          <w:p>
            <w:pPr>
              <w:spacing w:after="0"/>
              <w:rPr>
                <w:sz w:val="19"/>
                <w:szCs w:val="19"/>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320" w:type="dxa"/>
            <w:vAlign w:val="bottom"/>
            <w:tcBorders>
              <w:bottom w:val="single" w:sz="8" w:color="6400A0"/>
            </w:tcBorders>
          </w:tcPr>
          <w:p>
            <w:pPr>
              <w:spacing w:after="0" w:line="20" w:lineRule="exact"/>
              <w:rPr>
                <w:sz w:val="1"/>
                <w:szCs w:val="1"/>
                <w:color w:val="auto"/>
              </w:rPr>
            </w:pPr>
          </w:p>
        </w:tc>
        <w:tc>
          <w:tcPr>
            <w:tcW w:w="280" w:type="dxa"/>
            <w:vAlign w:val="bottom"/>
            <w:tcBorders>
              <w:bottom w:val="single" w:sz="8" w:color="6400A0"/>
            </w:tcBorders>
          </w:tcPr>
          <w:p>
            <w:pPr>
              <w:spacing w:after="0" w:line="20" w:lineRule="exact"/>
              <w:rPr>
                <w:sz w:val="1"/>
                <w:szCs w:val="1"/>
                <w:color w:val="auto"/>
              </w:rPr>
            </w:pPr>
          </w:p>
        </w:tc>
        <w:tc>
          <w:tcPr>
            <w:tcW w:w="170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r>
      <w:tr>
        <w:trPr>
          <w:trHeight w:val="21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Land and improvements</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152</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Buildings, structures, and related equipment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2,199</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1,943</w:t>
            </w:r>
          </w:p>
        </w:tc>
      </w:tr>
      <w:tr>
        <w:trPr>
          <w:trHeight w:val="28"/>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bottom w:val="single" w:sz="8" w:color="E4E4E4"/>
            </w:tcBorders>
            <w:shd w:val="clear" w:color="auto" w:fill="E4E4E4"/>
          </w:tcPr>
          <w:p>
            <w:pPr>
              <w:spacing w:after="0"/>
              <w:rPr>
                <w:sz w:val="19"/>
                <w:szCs w:val="19"/>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2,975</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2,705</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Leasehold improvements and manufacturing plants under construction</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516</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553</w:t>
            </w:r>
          </w:p>
        </w:tc>
      </w:tr>
      <w:tr>
        <w:trPr>
          <w:trHeight w:val="28"/>
        </w:trPr>
        <w:tc>
          <w:tcPr>
            <w:tcW w:w="7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property, plant, and equipment, at original cost</w:t>
            </w:r>
          </w:p>
        </w:tc>
        <w:tc>
          <w:tcPr>
            <w:tcW w:w="280" w:type="dxa"/>
            <w:vAlign w:val="bottom"/>
            <w:tcBorders>
              <w:bottom w:val="single" w:sz="8" w:color="E4E4E4"/>
            </w:tcBorders>
            <w:shd w:val="clear" w:color="auto" w:fill="E4E4E4"/>
          </w:tcPr>
          <w:p>
            <w:pPr>
              <w:spacing w:after="0"/>
              <w:rPr>
                <w:sz w:val="20"/>
                <w:szCs w:val="20"/>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5,841</w:t>
            </w:r>
          </w:p>
        </w:tc>
        <w:tc>
          <w:tcPr>
            <w:tcW w:w="220" w:type="dxa"/>
            <w:vAlign w:val="bottom"/>
            <w:tcBorders>
              <w:bottom w:val="single" w:sz="8" w:color="E4E4E4"/>
            </w:tcBorders>
            <w:shd w:val="clear" w:color="auto" w:fill="E4E4E4"/>
          </w:tcPr>
          <w:p>
            <w:pPr>
              <w:spacing w:after="0"/>
              <w:rPr>
                <w:sz w:val="20"/>
                <w:szCs w:val="20"/>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5,267</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Accumulated depreciation</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(3,266)</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(3,080)</w:t>
            </w:r>
          </w:p>
        </w:tc>
      </w:tr>
      <w:tr>
        <w:trPr>
          <w:trHeight w:val="29"/>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2"/>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Right-of-use operating lease assets, net of amortization</w:t>
            </w:r>
          </w:p>
        </w:tc>
        <w:tc>
          <w:tcPr>
            <w:tcW w:w="280" w:type="dxa"/>
            <w:vAlign w:val="bottom"/>
            <w:tcBorders>
              <w:bottom w:val="single" w:sz="8" w:color="E4E4E4"/>
            </w:tcBorders>
            <w:shd w:val="clear" w:color="auto" w:fill="E4E4E4"/>
          </w:tcPr>
          <w:p>
            <w:pPr>
              <w:spacing w:after="0"/>
              <w:rPr>
                <w:sz w:val="22"/>
                <w:szCs w:val="22"/>
                <w:color w:val="auto"/>
              </w:rPr>
            </w:pP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386</w:t>
            </w:r>
          </w:p>
        </w:tc>
        <w:tc>
          <w:tcPr>
            <w:tcW w:w="220" w:type="dxa"/>
            <w:vAlign w:val="bottom"/>
            <w:tcBorders>
              <w:bottom w:val="single" w:sz="8" w:color="E4E4E4"/>
            </w:tcBorders>
            <w:shd w:val="clear" w:color="auto" w:fill="E4E4E4"/>
          </w:tcPr>
          <w:p>
            <w:pPr>
              <w:spacing w:after="0"/>
              <w:rPr>
                <w:sz w:val="22"/>
                <w:szCs w:val="22"/>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364</w:t>
            </w:r>
          </w:p>
        </w:tc>
      </w:tr>
      <w:tr>
        <w:trPr>
          <w:trHeight w:val="229"/>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2,962</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2,550</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526"/>
        </w:trPr>
        <w:tc>
          <w:tcPr>
            <w:tcW w:w="7320" w:type="dxa"/>
            <w:vAlign w:val="bottom"/>
          </w:tcPr>
          <w:p>
            <w:pPr>
              <w:spacing w:after="0"/>
              <w:rPr>
                <w:sz w:val="20"/>
                <w:szCs w:val="20"/>
                <w:color w:val="auto"/>
              </w:rPr>
            </w:pPr>
            <w:r>
              <w:rPr>
                <w:rFonts w:ascii="Arial" w:cs="Arial" w:eastAsia="Arial" w:hAnsi="Arial"/>
                <w:sz w:val="16"/>
                <w:szCs w:val="16"/>
                <w:b w:val="1"/>
                <w:bCs w:val="1"/>
                <w:color w:val="auto"/>
              </w:rPr>
              <w:t>ALL OTHER ASSETS AND ALL OTHER LIABILITIES.</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99"/>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Assets</w:t>
            </w:r>
          </w:p>
        </w:tc>
        <w:tc>
          <w:tcPr>
            <w:tcW w:w="280" w:type="dxa"/>
            <w:vAlign w:val="bottom"/>
          </w:tcPr>
          <w:p>
            <w:pPr>
              <w:spacing w:after="0"/>
              <w:rPr>
                <w:sz w:val="24"/>
                <w:szCs w:val="24"/>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4"/>
                <w:szCs w:val="24"/>
                <w:color w:val="auto"/>
              </w:rPr>
            </w:pPr>
          </w:p>
        </w:tc>
      </w:tr>
      <w:tr>
        <w:trPr>
          <w:trHeight w:val="21"/>
        </w:trPr>
        <w:tc>
          <w:tcPr>
            <w:tcW w:w="732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7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400A0"/>
            </w:tcBorders>
          </w:tcPr>
          <w:p>
            <w:pPr>
              <w:spacing w:after="0"/>
              <w:rPr>
                <w:sz w:val="19"/>
                <w:szCs w:val="19"/>
                <w:color w:val="auto"/>
              </w:rPr>
            </w:pPr>
          </w:p>
        </w:tc>
        <w:tc>
          <w:tcPr>
            <w:tcW w:w="280" w:type="dxa"/>
            <w:vAlign w:val="bottom"/>
            <w:tcBorders>
              <w:bottom w:val="single" w:sz="8" w:color="6400A0"/>
            </w:tcBorders>
          </w:tcPr>
          <w:p>
            <w:pPr>
              <w:spacing w:after="0"/>
              <w:rPr>
                <w:sz w:val="19"/>
                <w:szCs w:val="19"/>
                <w:color w:val="auto"/>
              </w:rPr>
            </w:pPr>
          </w:p>
        </w:tc>
        <w:tc>
          <w:tcPr>
            <w:tcW w:w="1700" w:type="dxa"/>
            <w:vAlign w:val="bottom"/>
            <w:tcBorders>
              <w:bottom w:val="single" w:sz="8" w:color="6400A0"/>
            </w:tcBorders>
          </w:tcPr>
          <w:p>
            <w:pPr>
              <w:jc w:val="right"/>
              <w:ind w:right="359"/>
              <w:spacing w:after="0"/>
              <w:rPr>
                <w:sz w:val="20"/>
                <w:szCs w:val="20"/>
                <w:color w:val="auto"/>
              </w:rPr>
            </w:pPr>
            <w:r>
              <w:rPr>
                <w:rFonts w:ascii="Arial" w:cs="Arial" w:eastAsia="Arial" w:hAnsi="Arial"/>
                <w:sz w:val="16"/>
                <w:szCs w:val="16"/>
                <w:b w:val="1"/>
                <w:bCs w:val="1"/>
                <w:color w:val="454545"/>
              </w:rPr>
              <w:t>June 30, 2025</w:t>
            </w:r>
          </w:p>
        </w:tc>
        <w:tc>
          <w:tcPr>
            <w:tcW w:w="220" w:type="dxa"/>
            <w:vAlign w:val="bottom"/>
            <w:tcBorders>
              <w:bottom w:val="single" w:sz="8" w:color="6400A0"/>
            </w:tcBorders>
          </w:tcPr>
          <w:p>
            <w:pPr>
              <w:spacing w:after="0"/>
              <w:rPr>
                <w:sz w:val="19"/>
                <w:szCs w:val="19"/>
                <w:color w:val="auto"/>
              </w:rPr>
            </w:pPr>
          </w:p>
        </w:tc>
        <w:tc>
          <w:tcPr>
            <w:tcW w:w="172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Prepaid expenses and deferred costs</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237</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188</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Financing receivables – net</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8"/>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Derivative instruments</w:t>
            </w:r>
            <w:r>
              <w:rPr>
                <w:rFonts w:ascii="Arial" w:cs="Arial" w:eastAsia="Arial" w:hAnsi="Arial"/>
                <w:sz w:val="21"/>
                <w:szCs w:val="21"/>
                <w:color w:val="auto"/>
                <w:vertAlign w:val="superscript"/>
              </w:rPr>
              <w:t>(1)</w:t>
            </w:r>
          </w:p>
        </w:tc>
        <w:tc>
          <w:tcPr>
            <w:tcW w:w="280" w:type="dxa"/>
            <w:vAlign w:val="bottom"/>
            <w:shd w:val="clear" w:color="auto" w:fill="E4E4E4"/>
          </w:tcPr>
          <w:p>
            <w:pPr>
              <w:spacing w:after="0"/>
              <w:rPr>
                <w:sz w:val="21"/>
                <w:szCs w:val="21"/>
                <w:color w:val="auto"/>
              </w:rPr>
            </w:pPr>
          </w:p>
        </w:tc>
        <w:tc>
          <w:tcPr>
            <w:tcW w:w="1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115</w:t>
            </w:r>
          </w:p>
        </w:tc>
        <w:tc>
          <w:tcPr>
            <w:tcW w:w="220" w:type="dxa"/>
            <w:vAlign w:val="bottom"/>
            <w:shd w:val="clear" w:color="auto" w:fill="E4E4E4"/>
          </w:tcPr>
          <w:p>
            <w:pPr>
              <w:spacing w:after="0"/>
              <w:rPr>
                <w:sz w:val="21"/>
                <w:szCs w:val="21"/>
                <w:color w:val="auto"/>
              </w:rPr>
            </w:pPr>
          </w:p>
        </w:tc>
        <w:tc>
          <w:tcPr>
            <w:tcW w:w="1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123</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Tax receivables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144</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8"/>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E4E4E4"/>
          </w:tcPr>
          <w:p>
            <w:pPr>
              <w:spacing w:after="0"/>
              <w:rPr>
                <w:sz w:val="21"/>
                <w:szCs w:val="21"/>
                <w:color w:val="auto"/>
              </w:rPr>
            </w:pPr>
          </w:p>
        </w:tc>
        <w:tc>
          <w:tcPr>
            <w:tcW w:w="17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42</w:t>
            </w:r>
          </w:p>
        </w:tc>
        <w:tc>
          <w:tcPr>
            <w:tcW w:w="220" w:type="dxa"/>
            <w:vAlign w:val="bottom"/>
            <w:tcBorders>
              <w:bottom w:val="single" w:sz="8" w:color="auto"/>
            </w:tcBorders>
            <w:shd w:val="clear" w:color="auto" w:fill="E4E4E4"/>
          </w:tcPr>
          <w:p>
            <w:pPr>
              <w:spacing w:after="0"/>
              <w:rPr>
                <w:sz w:val="21"/>
                <w:szCs w:val="21"/>
                <w:color w:val="auto"/>
              </w:rPr>
            </w:pPr>
          </w:p>
        </w:tc>
        <w:tc>
          <w:tcPr>
            <w:tcW w:w="1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assets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638</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532</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860" w:hanging="252"/>
        <w:spacing w:after="0" w:line="265"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Derivative instruments include the related accrued interest. Refer to Note 12, “Financial Instruments and Fair Value Measurements” for further information.</w:t>
      </w:r>
    </w:p>
    <w:p>
      <w:pPr>
        <w:spacing w:after="0" w:line="1" w:lineRule="exact"/>
        <w:rPr>
          <w:rFonts w:ascii="Arial" w:cs="Arial" w:eastAsia="Arial" w:hAnsi="Arial"/>
          <w:sz w:val="16"/>
          <w:szCs w:val="16"/>
          <w:color w:val="auto"/>
        </w:rPr>
      </w:pPr>
    </w:p>
    <w:p>
      <w:pPr>
        <w:ind w:left="260" w:right="160" w:hanging="252"/>
        <w:spacing w:after="0" w:line="265"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of June 30, 2025, Other primarily consists of indemnity assets associated with separation agreements with GE. These amounts were not material as of December 31, 2024.</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Non-Current Assets</w:t>
            </w:r>
          </w:p>
        </w:tc>
        <w:tc>
          <w:tcPr>
            <w:tcW w:w="30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400A0"/>
            </w:tcBorders>
          </w:tcPr>
          <w:p>
            <w:pPr>
              <w:spacing w:after="0"/>
              <w:rPr>
                <w:sz w:val="19"/>
                <w:szCs w:val="19"/>
                <w:color w:val="auto"/>
              </w:rPr>
            </w:pPr>
          </w:p>
        </w:tc>
        <w:tc>
          <w:tcPr>
            <w:tcW w:w="300" w:type="dxa"/>
            <w:vAlign w:val="bottom"/>
            <w:tcBorders>
              <w:bottom w:val="single" w:sz="8" w:color="6400A0"/>
            </w:tcBorders>
          </w:tcPr>
          <w:p>
            <w:pPr>
              <w:spacing w:after="0"/>
              <w:rPr>
                <w:sz w:val="19"/>
                <w:szCs w:val="19"/>
                <w:color w:val="auto"/>
              </w:rPr>
            </w:pPr>
          </w:p>
        </w:tc>
        <w:tc>
          <w:tcPr>
            <w:tcW w:w="1680" w:type="dxa"/>
            <w:vAlign w:val="bottom"/>
            <w:tcBorders>
              <w:bottom w:val="single" w:sz="8" w:color="6400A0"/>
            </w:tcBorders>
          </w:tcPr>
          <w:p>
            <w:pPr>
              <w:jc w:val="right"/>
              <w:ind w:right="359"/>
              <w:spacing w:after="0"/>
              <w:rPr>
                <w:sz w:val="20"/>
                <w:szCs w:val="20"/>
                <w:color w:val="auto"/>
              </w:rPr>
            </w:pPr>
            <w:r>
              <w:rPr>
                <w:rFonts w:ascii="Arial" w:cs="Arial" w:eastAsia="Arial" w:hAnsi="Arial"/>
                <w:sz w:val="16"/>
                <w:szCs w:val="16"/>
                <w:b w:val="1"/>
                <w:bCs w:val="1"/>
                <w:color w:val="454545"/>
              </w:rPr>
              <w:t>June 30, 2025</w:t>
            </w:r>
          </w:p>
        </w:tc>
        <w:tc>
          <w:tcPr>
            <w:tcW w:w="220" w:type="dxa"/>
            <w:vAlign w:val="bottom"/>
            <w:tcBorders>
              <w:bottom w:val="single" w:sz="8" w:color="6400A0"/>
            </w:tcBorders>
          </w:tcPr>
          <w:p>
            <w:pPr>
              <w:spacing w:after="0"/>
              <w:rPr>
                <w:sz w:val="19"/>
                <w:szCs w:val="19"/>
                <w:color w:val="auto"/>
              </w:rPr>
            </w:pPr>
          </w:p>
        </w:tc>
        <w:tc>
          <w:tcPr>
            <w:tcW w:w="172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Prepaid pension asset</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775</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657</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Equity method and other investments</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244</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8"/>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Financing receivables – net</w:t>
            </w:r>
          </w:p>
        </w:tc>
        <w:tc>
          <w:tcPr>
            <w:tcW w:w="30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190</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Long-term receivables – net</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191</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8"/>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Inventories</w:t>
            </w:r>
          </w:p>
        </w:tc>
        <w:tc>
          <w:tcPr>
            <w:tcW w:w="30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145</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139</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Contract and other deferred assets</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207</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8"/>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0"/>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Capitalized cloud computing arrangement implementation costs</w:t>
            </w:r>
          </w:p>
        </w:tc>
        <w:tc>
          <w:tcPr>
            <w:tcW w:w="300" w:type="dxa"/>
            <w:vAlign w:val="bottom"/>
            <w:shd w:val="clear" w:color="auto" w:fill="E4E4E4"/>
          </w:tcPr>
          <w:p>
            <w:pPr>
              <w:spacing w:after="0"/>
              <w:rPr>
                <w:sz w:val="19"/>
                <w:szCs w:val="19"/>
                <w:color w:val="auto"/>
              </w:rPr>
            </w:pPr>
          </w:p>
        </w:tc>
        <w:tc>
          <w:tcPr>
            <w:tcW w:w="16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143</w:t>
            </w:r>
          </w:p>
        </w:tc>
        <w:tc>
          <w:tcPr>
            <w:tcW w:w="220" w:type="dxa"/>
            <w:vAlign w:val="bottom"/>
            <w:shd w:val="clear" w:color="auto" w:fill="E4E4E4"/>
          </w:tcPr>
          <w:p>
            <w:pPr>
              <w:spacing w:after="0"/>
              <w:rPr>
                <w:sz w:val="19"/>
                <w:szCs w:val="19"/>
                <w:color w:val="auto"/>
              </w:rPr>
            </w:pPr>
          </w:p>
        </w:tc>
        <w:tc>
          <w:tcPr>
            <w:tcW w:w="1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84</w:t>
            </w:r>
          </w:p>
        </w:tc>
      </w:tr>
      <w:tr>
        <w:trPr>
          <w:trHeight w:val="24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216"/>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non-current assets</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2,076</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1,950</w:t>
            </w:r>
          </w:p>
        </w:tc>
      </w:tr>
      <w:tr>
        <w:trPr>
          <w:trHeight w:val="20"/>
        </w:trPr>
        <w:tc>
          <w:tcPr>
            <w:tcW w:w="7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primarily consists of indemnity assets associated with separation agreements with GE, derivative instruments, and tax receivables.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5"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Liabilities</w:t>
            </w:r>
          </w:p>
        </w:tc>
        <w:tc>
          <w:tcPr>
            <w:tcW w:w="30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400A0"/>
            </w:tcBorders>
          </w:tcPr>
          <w:p>
            <w:pPr>
              <w:spacing w:after="0"/>
              <w:rPr>
                <w:sz w:val="19"/>
                <w:szCs w:val="19"/>
                <w:color w:val="auto"/>
              </w:rPr>
            </w:pPr>
          </w:p>
        </w:tc>
        <w:tc>
          <w:tcPr>
            <w:tcW w:w="300" w:type="dxa"/>
            <w:vAlign w:val="bottom"/>
            <w:tcBorders>
              <w:bottom w:val="single" w:sz="8" w:color="6400A0"/>
            </w:tcBorders>
          </w:tcPr>
          <w:p>
            <w:pPr>
              <w:spacing w:after="0"/>
              <w:rPr>
                <w:sz w:val="19"/>
                <w:szCs w:val="19"/>
                <w:color w:val="auto"/>
              </w:rPr>
            </w:pPr>
          </w:p>
        </w:tc>
        <w:tc>
          <w:tcPr>
            <w:tcW w:w="1680" w:type="dxa"/>
            <w:vAlign w:val="bottom"/>
            <w:tcBorders>
              <w:bottom w:val="single" w:sz="8" w:color="6400A0"/>
            </w:tcBorders>
          </w:tcPr>
          <w:p>
            <w:pPr>
              <w:jc w:val="right"/>
              <w:ind w:right="359"/>
              <w:spacing w:after="0"/>
              <w:rPr>
                <w:sz w:val="20"/>
                <w:szCs w:val="20"/>
                <w:color w:val="auto"/>
              </w:rPr>
            </w:pPr>
            <w:r>
              <w:rPr>
                <w:rFonts w:ascii="Arial" w:cs="Arial" w:eastAsia="Arial" w:hAnsi="Arial"/>
                <w:sz w:val="16"/>
                <w:szCs w:val="16"/>
                <w:b w:val="1"/>
                <w:bCs w:val="1"/>
                <w:color w:val="454545"/>
              </w:rPr>
              <w:t>June 30, 2025</w:t>
            </w:r>
          </w:p>
        </w:tc>
        <w:tc>
          <w:tcPr>
            <w:tcW w:w="220" w:type="dxa"/>
            <w:vAlign w:val="bottom"/>
            <w:tcBorders>
              <w:bottom w:val="single" w:sz="8" w:color="6400A0"/>
            </w:tcBorders>
          </w:tcPr>
          <w:p>
            <w:pPr>
              <w:spacing w:after="0"/>
              <w:rPr>
                <w:sz w:val="19"/>
                <w:szCs w:val="19"/>
                <w:color w:val="auto"/>
              </w:rPr>
            </w:pPr>
          </w:p>
        </w:tc>
        <w:tc>
          <w:tcPr>
            <w:tcW w:w="172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242</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181</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8"/>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Product warranties</w:t>
            </w:r>
          </w:p>
        </w:tc>
        <w:tc>
          <w:tcPr>
            <w:tcW w:w="30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166</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168</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Accrued logistics and utilities</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177</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8"/>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lease liabilities</w:t>
            </w:r>
          </w:p>
        </w:tc>
        <w:tc>
          <w:tcPr>
            <w:tcW w:w="30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127</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w:t>
            </w:r>
          </w:p>
        </w:tc>
      </w:tr>
      <w:tr>
        <w:trPr>
          <w:trHeight w:val="243"/>
        </w:trPr>
        <w:tc>
          <w:tcPr>
            <w:tcW w:w="7320" w:type="dxa"/>
            <w:vAlign w:val="bottom"/>
          </w:tcPr>
          <w:p>
            <w:pPr>
              <w:ind w:left="20"/>
              <w:spacing w:after="0"/>
              <w:rPr>
                <w:sz w:val="20"/>
                <w:szCs w:val="20"/>
                <w:color w:val="auto"/>
              </w:rPr>
            </w:pPr>
            <w:r>
              <w:rPr>
                <w:rFonts w:ascii="Arial" w:cs="Arial" w:eastAsia="Arial" w:hAnsi="Arial"/>
                <w:sz w:val="16"/>
                <w:szCs w:val="16"/>
                <w:color w:val="auto"/>
              </w:rPr>
              <w:t>Derivative instruments</w:t>
            </w:r>
            <w:r>
              <w:rPr>
                <w:rFonts w:ascii="Arial" w:cs="Arial" w:eastAsia="Arial" w:hAnsi="Arial"/>
                <w:sz w:val="21"/>
                <w:szCs w:val="21"/>
                <w:color w:val="auto"/>
                <w:vertAlign w:val="superscript"/>
              </w:rPr>
              <w:t>(1)</w:t>
            </w:r>
          </w:p>
        </w:tc>
        <w:tc>
          <w:tcPr>
            <w:tcW w:w="3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payable on borrowings</w:t>
            </w:r>
          </w:p>
        </w:tc>
        <w:tc>
          <w:tcPr>
            <w:tcW w:w="30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89</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8"/>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300" w:type="dxa"/>
            <w:vAlign w:val="bottom"/>
            <w:tcBorders>
              <w:bottom w:val="single" w:sz="8" w:color="auto"/>
            </w:tcBorders>
            <w:shd w:val="clear" w:color="auto" w:fill="E4E4E4"/>
          </w:tcPr>
          <w:p>
            <w:pPr>
              <w:spacing w:after="0"/>
              <w:rPr>
                <w:sz w:val="21"/>
                <w:szCs w:val="21"/>
                <w:color w:val="auto"/>
              </w:rPr>
            </w:pPr>
          </w:p>
        </w:tc>
        <w:tc>
          <w:tcPr>
            <w:tcW w:w="16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363</w:t>
            </w:r>
          </w:p>
        </w:tc>
        <w:tc>
          <w:tcPr>
            <w:tcW w:w="220" w:type="dxa"/>
            <w:vAlign w:val="bottom"/>
            <w:tcBorders>
              <w:bottom w:val="single" w:sz="8" w:color="auto"/>
            </w:tcBorders>
            <w:shd w:val="clear" w:color="auto" w:fill="E4E4E4"/>
          </w:tcPr>
          <w:p>
            <w:pPr>
              <w:spacing w:after="0"/>
              <w:rPr>
                <w:sz w:val="21"/>
                <w:szCs w:val="21"/>
                <w:color w:val="auto"/>
              </w:rPr>
            </w:pPr>
          </w:p>
        </w:tc>
        <w:tc>
          <w:tcPr>
            <w:tcW w:w="1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386</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liabilities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1,426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1,552</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860" w:hanging="252"/>
        <w:spacing w:after="0" w:line="263"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Derivative instruments include the related accrued interest. Refer to Note 12, “Financial Instruments and Fair Value Measurements” for further information.</w:t>
      </w:r>
    </w:p>
    <w:p>
      <w:pPr>
        <w:ind w:left="260" w:hanging="252"/>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primarily consists of miscellaneous accrued costs and contingent consideration liabilities.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Non-Current Liabilities</w:t>
            </w:r>
          </w:p>
        </w:tc>
        <w:tc>
          <w:tcPr>
            <w:tcW w:w="30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300" w:type="dxa"/>
            <w:vAlign w:val="bottom"/>
            <w:tcBorders>
              <w:bottom w:val="single" w:sz="8" w:color="6022A6"/>
            </w:tcBorders>
          </w:tcPr>
          <w:p>
            <w:pPr>
              <w:spacing w:after="0"/>
              <w:rPr>
                <w:sz w:val="19"/>
                <w:szCs w:val="19"/>
                <w:color w:val="auto"/>
              </w:rPr>
            </w:pPr>
          </w:p>
        </w:tc>
        <w:tc>
          <w:tcPr>
            <w:tcW w:w="1680" w:type="dxa"/>
            <w:vAlign w:val="bottom"/>
            <w:tcBorders>
              <w:bottom w:val="single" w:sz="8" w:color="6022A6"/>
            </w:tcBorders>
          </w:tcPr>
          <w:p>
            <w:pPr>
              <w:jc w:val="right"/>
              <w:ind w:right="359"/>
              <w:spacing w:after="0"/>
              <w:rPr>
                <w:sz w:val="20"/>
                <w:szCs w:val="20"/>
                <w:color w:val="auto"/>
              </w:rPr>
            </w:pPr>
            <w:r>
              <w:rPr>
                <w:rFonts w:ascii="Arial" w:cs="Arial" w:eastAsia="Arial" w:hAnsi="Arial"/>
                <w:sz w:val="16"/>
                <w:szCs w:val="16"/>
                <w:b w:val="1"/>
                <w:bCs w:val="1"/>
                <w:color w:val="454545"/>
              </w:rPr>
              <w:t>June 30, 2025</w:t>
            </w:r>
          </w:p>
        </w:tc>
        <w:tc>
          <w:tcPr>
            <w:tcW w:w="220" w:type="dxa"/>
            <w:vAlign w:val="bottom"/>
            <w:tcBorders>
              <w:bottom w:val="single" w:sz="8" w:color="6022A6"/>
            </w:tcBorders>
          </w:tcPr>
          <w:p>
            <w:pPr>
              <w:spacing w:after="0"/>
              <w:rPr>
                <w:sz w:val="19"/>
                <w:szCs w:val="19"/>
                <w:color w:val="auto"/>
              </w:rPr>
            </w:pPr>
          </w:p>
        </w:tc>
        <w:tc>
          <w:tcPr>
            <w:tcW w:w="172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741</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686</w:t>
            </w:r>
          </w:p>
        </w:tc>
      </w:tr>
      <w:tr>
        <w:trPr>
          <w:trHeight w:val="222"/>
        </w:trPr>
        <w:tc>
          <w:tcPr>
            <w:tcW w:w="73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271</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37"/>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300" w:type="dxa"/>
            <w:vAlign w:val="bottom"/>
            <w:shd w:val="clear" w:color="auto" w:fill="E4E4E4"/>
          </w:tcPr>
          <w:p>
            <w:pPr>
              <w:spacing w:after="0"/>
              <w:rPr>
                <w:sz w:val="20"/>
                <w:szCs w:val="20"/>
                <w:color w:val="auto"/>
              </w:rPr>
            </w:pPr>
          </w:p>
        </w:tc>
        <w:tc>
          <w:tcPr>
            <w:tcW w:w="16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407</w:t>
            </w:r>
          </w:p>
        </w:tc>
        <w:tc>
          <w:tcPr>
            <w:tcW w:w="220" w:type="dxa"/>
            <w:vAlign w:val="bottom"/>
            <w:shd w:val="clear" w:color="auto" w:fill="E4E4E4"/>
          </w:tcPr>
          <w:p>
            <w:pPr>
              <w:spacing w:after="0"/>
              <w:rPr>
                <w:sz w:val="20"/>
                <w:szCs w:val="20"/>
                <w:color w:val="auto"/>
              </w:rPr>
            </w:pPr>
          </w:p>
        </w:tc>
        <w:tc>
          <w:tcPr>
            <w:tcW w:w="1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291</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170</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8"/>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Derivative instruments</w:t>
            </w:r>
            <w:r>
              <w:rPr>
                <w:rFonts w:ascii="Arial" w:cs="Arial" w:eastAsia="Arial" w:hAnsi="Arial"/>
                <w:sz w:val="21"/>
                <w:szCs w:val="21"/>
                <w:color w:val="auto"/>
                <w:vertAlign w:val="superscript"/>
              </w:rPr>
              <w:t>(1)</w:t>
            </w:r>
          </w:p>
        </w:tc>
        <w:tc>
          <w:tcPr>
            <w:tcW w:w="300" w:type="dxa"/>
            <w:vAlign w:val="bottom"/>
            <w:shd w:val="clear" w:color="auto" w:fill="E4E4E4"/>
          </w:tcPr>
          <w:p>
            <w:pPr>
              <w:spacing w:after="0"/>
              <w:rPr>
                <w:sz w:val="21"/>
                <w:szCs w:val="21"/>
                <w:color w:val="auto"/>
              </w:rPr>
            </w:pPr>
          </w:p>
        </w:tc>
        <w:tc>
          <w:tcPr>
            <w:tcW w:w="16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154</w:t>
            </w:r>
          </w:p>
        </w:tc>
        <w:tc>
          <w:tcPr>
            <w:tcW w:w="220" w:type="dxa"/>
            <w:vAlign w:val="bottom"/>
            <w:shd w:val="clear" w:color="auto" w:fill="E4E4E4"/>
          </w:tcPr>
          <w:p>
            <w:pPr>
              <w:spacing w:after="0"/>
              <w:rPr>
                <w:sz w:val="21"/>
                <w:szCs w:val="21"/>
                <w:color w:val="auto"/>
              </w:rPr>
            </w:pPr>
          </w:p>
        </w:tc>
        <w:tc>
          <w:tcPr>
            <w:tcW w:w="1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64</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Finance lease obligations</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8"/>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30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r>
      <w:tr>
        <w:trPr>
          <w:trHeight w:val="21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non-current liabilities</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2,005</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1,796</w:t>
            </w:r>
          </w:p>
        </w:tc>
      </w:tr>
      <w:tr>
        <w:trPr>
          <w:trHeight w:val="20"/>
        </w:trPr>
        <w:tc>
          <w:tcPr>
            <w:tcW w:w="7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860" w:hanging="252"/>
        <w:spacing w:after="0" w:line="256" w:lineRule="auto"/>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Derivative instruments include the related accrued interest. Refer to Note 12, “Financial Instruments and Fair Value Measurements” for further information.</w:t>
      </w:r>
    </w:p>
    <w:p>
      <w:pPr>
        <w:spacing w:after="0" w:line="1" w:lineRule="exact"/>
        <w:rPr>
          <w:rFonts w:ascii="Arial" w:cs="Arial" w:eastAsia="Arial" w:hAnsi="Arial"/>
          <w:sz w:val="16"/>
          <w:szCs w:val="16"/>
          <w:color w:val="auto"/>
        </w:rPr>
      </w:pPr>
    </w:p>
    <w:p>
      <w:pPr>
        <w:ind w:left="260" w:right="940" w:hanging="252"/>
        <w:spacing w:after="0" w:line="283" w:lineRule="auto"/>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primarily consists of miscellaneous accrued costs, indemnity liabilities associated with separation agreements with GE, and contingent consideration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FINANCE PROGRAMS.</w:t>
      </w:r>
    </w:p>
    <w:p>
      <w:pPr>
        <w:spacing w:after="0" w:line="262"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The Company participates in voluntary supply chain finance programs which 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to borrowings. In connection with the supply chain finance programs, payment terms normally range from 30 to 180 days, depending on the underlying supplier agreements.</w:t>
      </w:r>
    </w:p>
    <w:p>
      <w:pPr>
        <w:spacing w:after="0" w:line="21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Included within Accounts payable in the Condensed Consolidated Statements of Financial Position as of June 30, 2025 and December 31, 2024 were $346 million and $394 million, respectively, of confirmed supplier invoices that are outstanding and subject to third-party programs.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NONCONTROLLING INTERESTS.</w:t>
      </w:r>
    </w:p>
    <w:p>
      <w:pPr>
        <w:spacing w:after="0" w:line="248"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Company has noncontrolling interests with redemption features. These redemption features, such as put options, could require the Company to purchase the noncontrolling interests upon the occurrence of certain events. All noncontrolling interests with redemption features that are not solely within our control are recognized within the Condensed Consolidated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Activity attributable to redeemable noncontrolling interests is presented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20" w:type="dxa"/>
            <w:vAlign w:val="bottom"/>
            <w:gridSpan w:val="4"/>
          </w:tcPr>
          <w:p>
            <w:pPr>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5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r>
      <w:tr>
        <w:trPr>
          <w:trHeight w:val="220"/>
        </w:trPr>
        <w:tc>
          <w:tcPr>
            <w:tcW w:w="5140" w:type="dxa"/>
            <w:vAlign w:val="bottom"/>
            <w:tcBorders>
              <w:bottom w:val="single" w:sz="8" w:color="6022A6"/>
            </w:tcBorders>
          </w:tcPr>
          <w:p>
            <w:pPr>
              <w:spacing w:after="0"/>
              <w:rPr>
                <w:sz w:val="19"/>
                <w:szCs w:val="19"/>
                <w:color w:val="auto"/>
              </w:rPr>
            </w:pPr>
          </w:p>
        </w:tc>
        <w:tc>
          <w:tcPr>
            <w:tcW w:w="1060" w:type="dxa"/>
            <w:vAlign w:val="bottom"/>
            <w:tcBorders>
              <w:bottom w:val="single" w:sz="8" w:color="6022A6"/>
            </w:tcBorders>
          </w:tcPr>
          <w:p>
            <w:pPr>
              <w:spacing w:after="0"/>
              <w:rPr>
                <w:sz w:val="19"/>
                <w:szCs w:val="19"/>
                <w:color w:val="auto"/>
              </w:rPr>
            </w:pPr>
          </w:p>
        </w:tc>
        <w:tc>
          <w:tcPr>
            <w:tcW w:w="440" w:type="dxa"/>
            <w:vAlign w:val="bottom"/>
            <w:tcBorders>
              <w:bottom w:val="single" w:sz="8" w:color="6022A6"/>
            </w:tcBorders>
          </w:tcPr>
          <w:p>
            <w:pPr>
              <w:spacing w:after="0"/>
              <w:rPr>
                <w:sz w:val="19"/>
                <w:szCs w:val="19"/>
                <w:color w:val="auto"/>
              </w:rPr>
            </w:pPr>
          </w:p>
        </w:tc>
        <w:tc>
          <w:tcPr>
            <w:tcW w:w="340" w:type="dxa"/>
            <w:vAlign w:val="bottom"/>
            <w:tcBorders>
              <w:bottom w:val="single" w:sz="8" w:color="6022A6"/>
            </w:tcBorders>
          </w:tcPr>
          <w:p>
            <w:pPr>
              <w:spacing w:after="0"/>
              <w:rPr>
                <w:sz w:val="19"/>
                <w:szCs w:val="19"/>
                <w:color w:val="auto"/>
              </w:rPr>
            </w:pPr>
          </w:p>
        </w:tc>
        <w:tc>
          <w:tcPr>
            <w:tcW w:w="860" w:type="dxa"/>
            <w:vAlign w:val="bottom"/>
            <w:tcBorders>
              <w:bottom w:val="single" w:sz="8" w:color="6022A6"/>
            </w:tcBorders>
          </w:tcPr>
          <w:p>
            <w:pPr>
              <w:spacing w:after="0"/>
              <w:rPr>
                <w:sz w:val="19"/>
                <w:szCs w:val="19"/>
                <w:color w:val="auto"/>
              </w:rPr>
            </w:pPr>
          </w:p>
        </w:tc>
        <w:tc>
          <w:tcPr>
            <w:tcW w:w="300" w:type="dxa"/>
            <w:vAlign w:val="bottom"/>
            <w:tcBorders>
              <w:bottom w:val="single" w:sz="8" w:color="6022A6"/>
            </w:tcBorders>
          </w:tcPr>
          <w:p>
            <w:pPr>
              <w:spacing w:after="0"/>
              <w:rPr>
                <w:sz w:val="19"/>
                <w:szCs w:val="19"/>
                <w:color w:val="auto"/>
              </w:rPr>
            </w:pPr>
          </w:p>
        </w:tc>
        <w:tc>
          <w:tcPr>
            <w:tcW w:w="80" w:type="dxa"/>
            <w:vAlign w:val="bottom"/>
            <w:tcBorders>
              <w:bottom w:val="single" w:sz="8" w:color="6022A6"/>
            </w:tcBorders>
          </w:tcPr>
          <w:p>
            <w:pPr>
              <w:spacing w:after="0"/>
              <w:rPr>
                <w:sz w:val="19"/>
                <w:szCs w:val="19"/>
                <w:color w:val="auto"/>
              </w:rPr>
            </w:pPr>
          </w:p>
        </w:tc>
        <w:tc>
          <w:tcPr>
            <w:tcW w:w="1260" w:type="dxa"/>
            <w:vAlign w:val="bottom"/>
            <w:tcBorders>
              <w:bottom w:val="single" w:sz="8" w:color="6022A6"/>
            </w:tcBorders>
          </w:tcPr>
          <w:p>
            <w:pPr>
              <w:jc w:val="right"/>
              <w:ind w:right="539"/>
              <w:spacing w:after="0"/>
              <w:rPr>
                <w:sz w:val="20"/>
                <w:szCs w:val="20"/>
                <w:color w:val="auto"/>
              </w:rPr>
            </w:pPr>
            <w:r>
              <w:rPr>
                <w:rFonts w:ascii="Arial" w:cs="Arial" w:eastAsia="Arial" w:hAnsi="Arial"/>
                <w:sz w:val="16"/>
                <w:szCs w:val="16"/>
                <w:b w:val="1"/>
                <w:bCs w:val="1"/>
                <w:color w:val="454545"/>
              </w:rPr>
              <w:t>2025</w:t>
            </w:r>
          </w:p>
        </w:tc>
        <w:tc>
          <w:tcPr>
            <w:tcW w:w="240" w:type="dxa"/>
            <w:vAlign w:val="bottom"/>
            <w:tcBorders>
              <w:bottom w:val="single" w:sz="8" w:color="6022A6"/>
            </w:tcBorders>
          </w:tcPr>
          <w:p>
            <w:pPr>
              <w:spacing w:after="0"/>
              <w:rPr>
                <w:sz w:val="19"/>
                <w:szCs w:val="19"/>
                <w:color w:val="auto"/>
              </w:rPr>
            </w:pPr>
          </w:p>
        </w:tc>
        <w:tc>
          <w:tcPr>
            <w:tcW w:w="300" w:type="dxa"/>
            <w:vAlign w:val="bottom"/>
            <w:tcBorders>
              <w:bottom w:val="single" w:sz="8" w:color="6022A6"/>
            </w:tcBorders>
          </w:tcPr>
          <w:p>
            <w:pPr>
              <w:spacing w:after="0"/>
              <w:rPr>
                <w:sz w:val="19"/>
                <w:szCs w:val="19"/>
                <w:color w:val="auto"/>
              </w:rPr>
            </w:pPr>
          </w:p>
        </w:tc>
        <w:tc>
          <w:tcPr>
            <w:tcW w:w="1220" w:type="dxa"/>
            <w:vAlign w:val="bottom"/>
            <w:tcBorders>
              <w:bottom w:val="single" w:sz="8" w:color="6022A6"/>
            </w:tcBorders>
          </w:tcPr>
          <w:p>
            <w:pPr>
              <w:jc w:val="right"/>
              <w:ind w:right="599"/>
              <w:spacing w:after="0"/>
              <w:rPr>
                <w:sz w:val="20"/>
                <w:szCs w:val="20"/>
                <w:color w:val="auto"/>
              </w:rPr>
            </w:pPr>
            <w:r>
              <w:rPr>
                <w:rFonts w:ascii="Arial" w:cs="Arial" w:eastAsia="Arial" w:hAnsi="Arial"/>
                <w:sz w:val="16"/>
                <w:szCs w:val="16"/>
                <w:b w:val="1"/>
                <w:bCs w:val="1"/>
                <w:color w:val="454545"/>
              </w:rPr>
              <w:t>2024</w:t>
            </w:r>
          </w:p>
        </w:tc>
      </w:tr>
      <w:tr>
        <w:trPr>
          <w:trHeight w:val="233"/>
        </w:trPr>
        <w:tc>
          <w:tcPr>
            <w:tcW w:w="51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060" w:type="dxa"/>
            <w:vAlign w:val="bottom"/>
            <w:tcBorders>
              <w:bottom w:val="single" w:sz="8" w:color="E4E4E4"/>
            </w:tcBorders>
            <w:shd w:val="clear" w:color="auto" w:fill="E4E4E4"/>
          </w:tcPr>
          <w:p>
            <w:pPr>
              <w:spacing w:after="0"/>
              <w:rPr>
                <w:sz w:val="20"/>
                <w:szCs w:val="20"/>
                <w:color w:val="auto"/>
              </w:rPr>
            </w:pPr>
          </w:p>
        </w:tc>
        <w:tc>
          <w:tcPr>
            <w:tcW w:w="44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gridSpan w:val="2"/>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188</w:t>
            </w: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165</w:t>
            </w:r>
          </w:p>
        </w:tc>
      </w:tr>
      <w:tr>
        <w:trPr>
          <w:trHeight w:val="227"/>
        </w:trPr>
        <w:tc>
          <w:tcPr>
            <w:tcW w:w="5140" w:type="dxa"/>
            <w:vAlign w:val="bottom"/>
          </w:tcPr>
          <w:p>
            <w:pPr>
              <w:ind w:left="20"/>
              <w:spacing w:after="0"/>
              <w:rPr>
                <w:sz w:val="20"/>
                <w:szCs w:val="20"/>
                <w:color w:val="auto"/>
              </w:rPr>
            </w:pPr>
            <w:r>
              <w:rPr>
                <w:rFonts w:ascii="Arial" w:cs="Arial" w:eastAsia="Arial" w:hAnsi="Arial"/>
                <w:sz w:val="16"/>
                <w:szCs w:val="16"/>
                <w:color w:val="auto"/>
              </w:rPr>
              <w:t>Net income attributable to redeemable noncontrolling interests</w:t>
            </w: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9"/>
        </w:trPr>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2"/>
        </w:trPr>
        <w:tc>
          <w:tcPr>
            <w:tcW w:w="51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Distributions to redeemable noncontrolling interests and other</w:t>
            </w:r>
          </w:p>
        </w:tc>
        <w:tc>
          <w:tcPr>
            <w:tcW w:w="1060" w:type="dxa"/>
            <w:vAlign w:val="bottom"/>
            <w:tcBorders>
              <w:bottom w:val="single" w:sz="8" w:color="E4E4E4"/>
            </w:tcBorders>
            <w:shd w:val="clear" w:color="auto" w:fill="E4E4E4"/>
          </w:tcPr>
          <w:p>
            <w:pPr>
              <w:spacing w:after="0"/>
              <w:rPr>
                <w:sz w:val="22"/>
                <w:szCs w:val="22"/>
                <w:color w:val="auto"/>
              </w:rPr>
            </w:pPr>
          </w:p>
        </w:tc>
        <w:tc>
          <w:tcPr>
            <w:tcW w:w="440" w:type="dxa"/>
            <w:vAlign w:val="bottom"/>
            <w:tcBorders>
              <w:bottom w:val="single" w:sz="8" w:color="E4E4E4"/>
            </w:tcBorders>
            <w:shd w:val="clear" w:color="auto" w:fill="E4E4E4"/>
          </w:tcPr>
          <w:p>
            <w:pPr>
              <w:spacing w:after="0"/>
              <w:rPr>
                <w:sz w:val="22"/>
                <w:szCs w:val="22"/>
                <w:color w:val="auto"/>
              </w:rPr>
            </w:pPr>
          </w:p>
        </w:tc>
        <w:tc>
          <w:tcPr>
            <w:tcW w:w="340" w:type="dxa"/>
            <w:vAlign w:val="bottom"/>
            <w:tcBorders>
              <w:bottom w:val="single" w:sz="8" w:color="E4E4E4"/>
            </w:tcBorders>
            <w:shd w:val="clear" w:color="auto" w:fill="E4E4E4"/>
          </w:tcPr>
          <w:p>
            <w:pPr>
              <w:spacing w:after="0"/>
              <w:rPr>
                <w:sz w:val="22"/>
                <w:szCs w:val="22"/>
                <w:color w:val="auto"/>
              </w:rPr>
            </w:pPr>
          </w:p>
        </w:tc>
        <w:tc>
          <w:tcPr>
            <w:tcW w:w="860" w:type="dxa"/>
            <w:vAlign w:val="bottom"/>
            <w:tcBorders>
              <w:bottom w:val="single" w:sz="8" w:color="E4E4E4"/>
            </w:tcBorders>
            <w:shd w:val="clear" w:color="auto" w:fill="E4E4E4"/>
          </w:tcPr>
          <w:p>
            <w:pPr>
              <w:spacing w:after="0"/>
              <w:rPr>
                <w:sz w:val="22"/>
                <w:szCs w:val="22"/>
                <w:color w:val="auto"/>
              </w:rPr>
            </w:pPr>
          </w:p>
        </w:tc>
        <w:tc>
          <w:tcPr>
            <w:tcW w:w="30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1500" w:type="dxa"/>
            <w:vAlign w:val="bottom"/>
            <w:tcBorders>
              <w:bottom w:val="single" w:sz="8" w:color="E4E4E4"/>
            </w:tcBorders>
            <w:gridSpan w:val="2"/>
            <w:shd w:val="clear" w:color="auto" w:fill="E4E4E4"/>
          </w:tcPr>
          <w:p>
            <w:pPr>
              <w:jc w:val="right"/>
              <w:ind w:right="119"/>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51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0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177</w:t>
            </w: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94"/>
        </w:trPr>
        <w:tc>
          <w:tcPr>
            <w:tcW w:w="5140" w:type="dxa"/>
            <w:vAlign w:val="bottom"/>
          </w:tcPr>
          <w:p>
            <w:pPr>
              <w:spacing w:after="0"/>
              <w:rPr>
                <w:sz w:val="20"/>
                <w:szCs w:val="20"/>
                <w:color w:val="auto"/>
              </w:rPr>
            </w:pPr>
            <w:r>
              <w:rPr>
                <w:rFonts w:ascii="Arial" w:cs="Arial" w:eastAsia="Arial" w:hAnsi="Arial"/>
                <w:sz w:val="16"/>
                <w:szCs w:val="16"/>
                <w:b w:val="1"/>
                <w:bCs w:val="1"/>
                <w:color w:val="auto"/>
              </w:rPr>
              <w:t xml:space="preserve">OTHER INCOME (EXPENSE) </w:t>
            </w:r>
            <w:r>
              <w:rPr>
                <w:rFonts w:ascii="Arial" w:cs="Arial" w:eastAsia="Arial" w:hAnsi="Arial"/>
                <w:sz w:val="19"/>
                <w:szCs w:val="19"/>
                <w:b w:val="1"/>
                <w:bCs w:val="1"/>
                <w:color w:val="auto"/>
              </w:rPr>
              <w:t>–</w:t>
            </w:r>
            <w:r>
              <w:rPr>
                <w:rFonts w:ascii="Arial" w:cs="Arial" w:eastAsia="Arial" w:hAnsi="Arial"/>
                <w:sz w:val="16"/>
                <w:szCs w:val="16"/>
                <w:b w:val="1"/>
                <w:bCs w:val="1"/>
                <w:color w:val="auto"/>
              </w:rPr>
              <w:t xml:space="preserve"> NET.</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5140" w:type="dxa"/>
            <w:vAlign w:val="bottom"/>
          </w:tcPr>
          <w:p>
            <w:pPr>
              <w:spacing w:after="0"/>
              <w:rPr>
                <w:sz w:val="21"/>
                <w:szCs w:val="21"/>
                <w:color w:val="auto"/>
              </w:rPr>
            </w:pPr>
          </w:p>
        </w:tc>
        <w:tc>
          <w:tcPr>
            <w:tcW w:w="3080" w:type="dxa"/>
            <w:vAlign w:val="bottom"/>
            <w:gridSpan w:val="6"/>
          </w:tcPr>
          <w:p>
            <w:pPr>
              <w:jc w:val="center"/>
              <w:spacing w:after="0"/>
              <w:rPr>
                <w:sz w:val="20"/>
                <w:szCs w:val="20"/>
                <w:color w:val="auto"/>
              </w:rPr>
            </w:pPr>
            <w:r>
              <w:rPr>
                <w:rFonts w:ascii="Arial" w:cs="Arial" w:eastAsia="Arial" w:hAnsi="Arial"/>
                <w:sz w:val="16"/>
                <w:szCs w:val="16"/>
                <w:b w:val="1"/>
                <w:bCs w:val="1"/>
                <w:color w:val="454545"/>
              </w:rPr>
              <w:t>For the three months ended June 30</w:t>
            </w:r>
          </w:p>
        </w:tc>
        <w:tc>
          <w:tcPr>
            <w:tcW w:w="3020" w:type="dxa"/>
            <w:vAlign w:val="bottom"/>
            <w:gridSpan w:val="4"/>
          </w:tcPr>
          <w:p>
            <w:pPr>
              <w:jc w:val="center"/>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5140" w:type="dxa"/>
            <w:vAlign w:val="bottom"/>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r>
      <w:tr>
        <w:trPr>
          <w:trHeight w:val="220"/>
        </w:trPr>
        <w:tc>
          <w:tcPr>
            <w:tcW w:w="5140" w:type="dxa"/>
            <w:vAlign w:val="bottom"/>
            <w:tcBorders>
              <w:bottom w:val="single" w:sz="8" w:color="6022A6"/>
            </w:tcBorders>
          </w:tcPr>
          <w:p>
            <w:pPr>
              <w:spacing w:after="0"/>
              <w:rPr>
                <w:sz w:val="19"/>
                <w:szCs w:val="19"/>
                <w:color w:val="auto"/>
              </w:rPr>
            </w:pPr>
          </w:p>
        </w:tc>
        <w:tc>
          <w:tcPr>
            <w:tcW w:w="1060" w:type="dxa"/>
            <w:vAlign w:val="bottom"/>
            <w:tcBorders>
              <w:bottom w:val="single" w:sz="8" w:color="6022A6"/>
            </w:tcBorders>
          </w:tcPr>
          <w:p>
            <w:pPr>
              <w:jc w:val="right"/>
              <w:ind w:right="59"/>
              <w:spacing w:after="0"/>
              <w:rPr>
                <w:sz w:val="20"/>
                <w:szCs w:val="20"/>
                <w:color w:val="auto"/>
              </w:rPr>
            </w:pPr>
            <w:r>
              <w:rPr>
                <w:rFonts w:ascii="Arial" w:cs="Arial" w:eastAsia="Arial" w:hAnsi="Arial"/>
                <w:sz w:val="16"/>
                <w:szCs w:val="16"/>
                <w:b w:val="1"/>
                <w:bCs w:val="1"/>
                <w:color w:val="454545"/>
              </w:rPr>
              <w:t>2025</w:t>
            </w:r>
          </w:p>
        </w:tc>
        <w:tc>
          <w:tcPr>
            <w:tcW w:w="440" w:type="dxa"/>
            <w:vAlign w:val="bottom"/>
            <w:tcBorders>
              <w:bottom w:val="single" w:sz="8" w:color="6022A6"/>
            </w:tcBorders>
          </w:tcPr>
          <w:p>
            <w:pPr>
              <w:spacing w:after="0"/>
              <w:rPr>
                <w:sz w:val="19"/>
                <w:szCs w:val="19"/>
                <w:color w:val="auto"/>
              </w:rPr>
            </w:pPr>
          </w:p>
        </w:tc>
        <w:tc>
          <w:tcPr>
            <w:tcW w:w="340" w:type="dxa"/>
            <w:vAlign w:val="bottom"/>
            <w:tcBorders>
              <w:bottom w:val="single" w:sz="8" w:color="6022A6"/>
            </w:tcBorders>
          </w:tcPr>
          <w:p>
            <w:pPr>
              <w:spacing w:after="0"/>
              <w:rPr>
                <w:sz w:val="19"/>
                <w:szCs w:val="19"/>
                <w:color w:val="auto"/>
              </w:rPr>
            </w:pPr>
          </w:p>
        </w:tc>
        <w:tc>
          <w:tcPr>
            <w:tcW w:w="860" w:type="dxa"/>
            <w:vAlign w:val="bottom"/>
            <w:tcBorders>
              <w:bottom w:val="single" w:sz="8" w:color="6022A6"/>
            </w:tcBorders>
          </w:tcPr>
          <w:p>
            <w:pPr>
              <w:jc w:val="right"/>
              <w:ind w:right="199"/>
              <w:spacing w:after="0"/>
              <w:rPr>
                <w:sz w:val="20"/>
                <w:szCs w:val="20"/>
                <w:color w:val="auto"/>
              </w:rPr>
            </w:pPr>
            <w:r>
              <w:rPr>
                <w:rFonts w:ascii="Arial" w:cs="Arial" w:eastAsia="Arial" w:hAnsi="Arial"/>
                <w:sz w:val="16"/>
                <w:szCs w:val="16"/>
                <w:b w:val="1"/>
                <w:bCs w:val="1"/>
                <w:color w:val="454545"/>
              </w:rPr>
              <w:t>2024</w:t>
            </w:r>
          </w:p>
        </w:tc>
        <w:tc>
          <w:tcPr>
            <w:tcW w:w="300" w:type="dxa"/>
            <w:vAlign w:val="bottom"/>
            <w:tcBorders>
              <w:bottom w:val="single" w:sz="8" w:color="6022A6"/>
            </w:tcBorders>
          </w:tcPr>
          <w:p>
            <w:pPr>
              <w:spacing w:after="0"/>
              <w:rPr>
                <w:sz w:val="19"/>
                <w:szCs w:val="19"/>
                <w:color w:val="auto"/>
              </w:rPr>
            </w:pPr>
          </w:p>
        </w:tc>
        <w:tc>
          <w:tcPr>
            <w:tcW w:w="80" w:type="dxa"/>
            <w:vAlign w:val="bottom"/>
            <w:tcBorders>
              <w:bottom w:val="single" w:sz="8" w:color="6022A6"/>
            </w:tcBorders>
          </w:tcPr>
          <w:p>
            <w:pPr>
              <w:spacing w:after="0"/>
              <w:rPr>
                <w:sz w:val="19"/>
                <w:szCs w:val="19"/>
                <w:color w:val="auto"/>
              </w:rPr>
            </w:pPr>
          </w:p>
        </w:tc>
        <w:tc>
          <w:tcPr>
            <w:tcW w:w="1260" w:type="dxa"/>
            <w:vAlign w:val="bottom"/>
            <w:tcBorders>
              <w:bottom w:val="single" w:sz="8" w:color="6022A6"/>
            </w:tcBorders>
          </w:tcPr>
          <w:p>
            <w:pPr>
              <w:jc w:val="right"/>
              <w:ind w:right="239"/>
              <w:spacing w:after="0"/>
              <w:rPr>
                <w:sz w:val="20"/>
                <w:szCs w:val="20"/>
                <w:color w:val="auto"/>
              </w:rPr>
            </w:pPr>
            <w:r>
              <w:rPr>
                <w:rFonts w:ascii="Arial" w:cs="Arial" w:eastAsia="Arial" w:hAnsi="Arial"/>
                <w:sz w:val="16"/>
                <w:szCs w:val="16"/>
                <w:b w:val="1"/>
                <w:bCs w:val="1"/>
                <w:color w:val="454545"/>
              </w:rPr>
              <w:t>2025</w:t>
            </w:r>
          </w:p>
        </w:tc>
        <w:tc>
          <w:tcPr>
            <w:tcW w:w="240" w:type="dxa"/>
            <w:vAlign w:val="bottom"/>
            <w:tcBorders>
              <w:bottom w:val="single" w:sz="8" w:color="6022A6"/>
            </w:tcBorders>
          </w:tcPr>
          <w:p>
            <w:pPr>
              <w:spacing w:after="0"/>
              <w:rPr>
                <w:sz w:val="19"/>
                <w:szCs w:val="19"/>
                <w:color w:val="auto"/>
              </w:rPr>
            </w:pPr>
          </w:p>
        </w:tc>
        <w:tc>
          <w:tcPr>
            <w:tcW w:w="300" w:type="dxa"/>
            <w:vAlign w:val="bottom"/>
            <w:tcBorders>
              <w:bottom w:val="single" w:sz="8" w:color="6022A6"/>
            </w:tcBorders>
          </w:tcPr>
          <w:p>
            <w:pPr>
              <w:spacing w:after="0"/>
              <w:rPr>
                <w:sz w:val="19"/>
                <w:szCs w:val="19"/>
                <w:color w:val="auto"/>
              </w:rPr>
            </w:pPr>
          </w:p>
        </w:tc>
        <w:tc>
          <w:tcPr>
            <w:tcW w:w="1220" w:type="dxa"/>
            <w:vAlign w:val="bottom"/>
            <w:tcBorders>
              <w:bottom w:val="single" w:sz="8" w:color="6022A6"/>
            </w:tcBorders>
          </w:tcPr>
          <w:p>
            <w:pPr>
              <w:jc w:val="right"/>
              <w:ind w:right="499"/>
              <w:spacing w:after="0"/>
              <w:rPr>
                <w:sz w:val="20"/>
                <w:szCs w:val="20"/>
                <w:color w:val="auto"/>
              </w:rPr>
            </w:pPr>
            <w:r>
              <w:rPr>
                <w:rFonts w:ascii="Arial" w:cs="Arial" w:eastAsia="Arial" w:hAnsi="Arial"/>
                <w:sz w:val="16"/>
                <w:szCs w:val="16"/>
                <w:b w:val="1"/>
                <w:bCs w:val="1"/>
                <w:color w:val="454545"/>
              </w:rPr>
              <w:t>2024</w:t>
            </w:r>
          </w:p>
        </w:tc>
      </w:tr>
      <w:tr>
        <w:trPr>
          <w:trHeight w:val="233"/>
        </w:trPr>
        <w:tc>
          <w:tcPr>
            <w:tcW w:w="51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financing income and investment income (loss)</w:t>
            </w:r>
          </w:p>
        </w:tc>
        <w:tc>
          <w:tcPr>
            <w:tcW w:w="1060" w:type="dxa"/>
            <w:vAlign w:val="bottom"/>
            <w:tcBorders>
              <w:bottom w:val="single" w:sz="8" w:color="E4E4E4"/>
            </w:tcBorders>
            <w:shd w:val="clear" w:color="auto" w:fill="E4E4E4"/>
          </w:tcPr>
          <w:p>
            <w:pPr>
              <w:jc w:val="right"/>
              <w:ind w:right="8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E4E4E4"/>
            </w:tcBorders>
            <w:shd w:val="clear" w:color="auto" w:fill="E4E4E4"/>
          </w:tcPr>
          <w:p>
            <w:pPr>
              <w:jc w:val="center"/>
              <w:ind w:right="1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E4E4E4"/>
            </w:tcBorders>
            <w:shd w:val="clear" w:color="auto" w:fill="E4E4E4"/>
          </w:tcPr>
          <w:p>
            <w:pPr>
              <w:jc w:val="center"/>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5140" w:type="dxa"/>
            <w:vAlign w:val="bottom"/>
          </w:tcPr>
          <w:p>
            <w:pPr>
              <w:ind w:left="20"/>
              <w:spacing w:after="0"/>
              <w:rPr>
                <w:sz w:val="20"/>
                <w:szCs w:val="20"/>
                <w:color w:val="auto"/>
              </w:rPr>
            </w:pPr>
            <w:r>
              <w:rPr>
                <w:rFonts w:ascii="Arial" w:cs="Arial" w:eastAsia="Arial" w:hAnsi="Arial"/>
                <w:sz w:val="16"/>
                <w:szCs w:val="16"/>
                <w:color w:val="auto"/>
              </w:rPr>
              <w:t>Equity method income (loss)</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8"/>
        </w:trPr>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51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Change in fair value of assumed obligations</w:t>
            </w:r>
          </w:p>
        </w:tc>
        <w:tc>
          <w:tcPr>
            <w:tcW w:w="1060" w:type="dxa"/>
            <w:vAlign w:val="bottom"/>
            <w:tcBorders>
              <w:bottom w:val="single" w:sz="8" w:color="E4E4E4"/>
            </w:tcBorders>
            <w:shd w:val="clear" w:color="auto" w:fill="E4E4E4"/>
          </w:tcPr>
          <w:p>
            <w:pPr>
              <w:spacing w:after="0"/>
              <w:rPr>
                <w:sz w:val="20"/>
                <w:szCs w:val="20"/>
                <w:color w:val="auto"/>
              </w:rPr>
            </w:pP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r>
      <w:tr>
        <w:trPr>
          <w:trHeight w:val="243"/>
        </w:trPr>
        <w:tc>
          <w:tcPr>
            <w:tcW w:w="5140" w:type="dxa"/>
            <w:vAlign w:val="bottom"/>
          </w:tcPr>
          <w:p>
            <w:pPr>
              <w:ind w:left="20"/>
              <w:spacing w:after="0"/>
              <w:rPr>
                <w:sz w:val="20"/>
                <w:szCs w:val="20"/>
                <w:color w:val="auto"/>
              </w:rPr>
            </w:pPr>
            <w:r>
              <w:rPr>
                <w:rFonts w:ascii="Arial" w:cs="Arial" w:eastAsia="Arial" w:hAnsi="Arial"/>
                <w:sz w:val="16"/>
                <w:szCs w:val="16"/>
                <w:color w:val="auto"/>
              </w:rPr>
              <w:t>Gain on remeasurement of NMP equity method investment</w:t>
            </w:r>
            <w:r>
              <w:rPr>
                <w:rFonts w:ascii="Arial" w:cs="Arial" w:eastAsia="Arial" w:hAnsi="Arial"/>
                <w:sz w:val="21"/>
                <w:szCs w:val="21"/>
                <w:color w:val="auto"/>
                <w:vertAlign w:val="superscript"/>
              </w:rPr>
              <w:t>(1)</w:t>
            </w: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9"/>
              </w:rPr>
              <w:t>97</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1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items, net</w:t>
            </w:r>
            <w:r>
              <w:rPr>
                <w:rFonts w:ascii="Arial" w:cs="Arial" w:eastAsia="Arial" w:hAnsi="Arial"/>
                <w:sz w:val="21"/>
                <w:szCs w:val="21"/>
                <w:color w:val="auto"/>
                <w:vertAlign w:val="superscript"/>
              </w:rPr>
              <w:t>(2)</w:t>
            </w:r>
          </w:p>
        </w:tc>
        <w:tc>
          <w:tcPr>
            <w:tcW w:w="1060" w:type="dxa"/>
            <w:vAlign w:val="bottom"/>
            <w:tcBorders>
              <w:bottom w:val="single" w:sz="8" w:color="auto"/>
            </w:tcBorders>
            <w:shd w:val="clear" w:color="auto" w:fill="E4E4E4"/>
          </w:tcPr>
          <w:p>
            <w:pPr>
              <w:spacing w:after="0"/>
              <w:rPr>
                <w:sz w:val="21"/>
                <w:szCs w:val="21"/>
                <w:color w:val="auto"/>
              </w:rPr>
            </w:pPr>
          </w:p>
        </w:tc>
        <w:tc>
          <w:tcPr>
            <w:tcW w:w="4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shd w:val="clear" w:color="auto" w:fill="E4E4E4"/>
          </w:tcPr>
          <w:p>
            <w:pPr>
              <w:spacing w:after="0"/>
              <w:rPr>
                <w:sz w:val="21"/>
                <w:szCs w:val="21"/>
                <w:color w:val="auto"/>
              </w:rPr>
            </w:pPr>
          </w:p>
        </w:tc>
        <w:tc>
          <w:tcPr>
            <w:tcW w:w="1160" w:type="dxa"/>
            <w:vAlign w:val="bottom"/>
            <w:tcBorders>
              <w:bottom w:val="single" w:sz="8" w:color="auto"/>
            </w:tcBorders>
            <w:gridSpan w:val="2"/>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auto"/>
            </w:tcBorders>
            <w:shd w:val="clear" w:color="auto" w:fill="E4E4E4"/>
          </w:tcPr>
          <w:p>
            <w:pPr>
              <w:spacing w:after="0"/>
              <w:rPr>
                <w:sz w:val="21"/>
                <w:szCs w:val="21"/>
                <w:color w:val="auto"/>
              </w:rPr>
            </w:pPr>
          </w:p>
        </w:tc>
        <w:tc>
          <w:tcPr>
            <w:tcW w:w="1260" w:type="dxa"/>
            <w:vAlign w:val="bottom"/>
            <w:tcBorders>
              <w:bottom w:val="single" w:sz="8" w:color="auto"/>
            </w:tcBorders>
            <w:shd w:val="clear" w:color="auto" w:fill="E4E4E4"/>
          </w:tcPr>
          <w:p>
            <w:pPr>
              <w:spacing w:after="0"/>
              <w:rPr>
                <w:sz w:val="21"/>
                <w:szCs w:val="21"/>
                <w:color w:val="auto"/>
              </w:rPr>
            </w:pP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w w:val="89"/>
              </w:rPr>
              <w:t>11</w:t>
            </w:r>
          </w:p>
        </w:tc>
        <w:tc>
          <w:tcPr>
            <w:tcW w:w="300" w:type="dxa"/>
            <w:vAlign w:val="bottom"/>
            <w:tcBorders>
              <w:bottom w:val="single" w:sz="8" w:color="auto"/>
            </w:tcBorders>
            <w:shd w:val="clear" w:color="auto" w:fill="E4E4E4"/>
          </w:tcPr>
          <w:p>
            <w:pPr>
              <w:spacing w:after="0"/>
              <w:rPr>
                <w:sz w:val="21"/>
                <w:szCs w:val="21"/>
                <w:color w:val="auto"/>
              </w:rPr>
            </w:pPr>
          </w:p>
        </w:tc>
        <w:tc>
          <w:tcPr>
            <w:tcW w:w="12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21</w:t>
            </w:r>
          </w:p>
        </w:tc>
      </w:tr>
      <w:tr>
        <w:trPr>
          <w:trHeight w:val="229"/>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Total other income (expense) – net</w:t>
            </w:r>
          </w:p>
        </w:tc>
        <w:tc>
          <w:tcPr>
            <w:tcW w:w="1060" w:type="dxa"/>
            <w:vAlign w:val="bottom"/>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3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19"/>
                <w:szCs w:val="19"/>
                <w:color w:val="auto"/>
              </w:rPr>
            </w:pPr>
          </w:p>
        </w:tc>
        <w:tc>
          <w:tcPr>
            <w:tcW w:w="12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w w:val="89"/>
              </w:rPr>
              <w:t>98</w:t>
            </w:r>
          </w:p>
        </w:tc>
        <w:tc>
          <w:tcPr>
            <w:tcW w:w="300" w:type="dxa"/>
            <w:vAlign w:val="bottom"/>
          </w:tcPr>
          <w:p>
            <w:pPr>
              <w:jc w:val="center"/>
              <w:ind w:right="7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(8)</w:t>
            </w: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Refer to Note 7, “Acquisitions, Goodwill, and Other Intangible Assets” for additional information on the NMP acquisition.</w:t>
      </w:r>
    </w:p>
    <w:p>
      <w:pPr>
        <w:spacing w:after="0" w:line="30" w:lineRule="exact"/>
        <w:rPr>
          <w:rFonts w:ascii="Arial" w:cs="Arial" w:eastAsia="Arial" w:hAnsi="Arial"/>
          <w:sz w:val="16"/>
          <w:szCs w:val="16"/>
          <w:color w:val="auto"/>
        </w:rPr>
      </w:pPr>
    </w:p>
    <w:p>
      <w:pPr>
        <w:ind w:left="260" w:right="380" w:hanging="252"/>
        <w:spacing w:after="0" w:line="270" w:lineRule="auto"/>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items, net primarily consists of a mix of licensing and royalty income, lease income, change in tax indemnities, and gains and losses related to derivatives. Additionally, for the six months ended June 30, 2025 it includes a realization of a gain contingency recorded in the first quarter of 2025.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70" w:lineRule="exact"/>
        <w:rPr>
          <w:sz w:val="20"/>
          <w:szCs w:val="20"/>
          <w:color w:val="auto"/>
        </w:rPr>
      </w:pPr>
    </w:p>
    <w:p>
      <w:pPr>
        <w:ind w:right="700"/>
        <w:spacing w:after="0" w:line="304" w:lineRule="auto"/>
        <w:rPr>
          <w:sz w:val="20"/>
          <w:szCs w:val="20"/>
          <w:color w:val="auto"/>
        </w:rPr>
      </w:pPr>
      <w:r>
        <w:rPr>
          <w:rFonts w:ascii="Arial" w:cs="Arial" w:eastAsia="Arial" w:hAnsi="Arial"/>
          <w:sz w:val="16"/>
          <w:szCs w:val="16"/>
          <w:color w:val="auto"/>
        </w:rPr>
        <w:t>On July 1, 2025, the Company’s Board of Directors declared a cash dividend of $0.035 per share of common stock, payable on August 15, 2025, to stockholders of record on July 25, 2025.</w:t>
      </w:r>
    </w:p>
    <w:p>
      <w:pPr>
        <w:spacing w:after="0" w:line="182"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color w:val="auto"/>
        </w:rPr>
        <w:t>On July 4, 2025, the President signed into law the OBBBA, which includes, among other things, significant changes to the U.S. federal income tax system. While we do not expect that the OBBBA will have a material impact on our income taxes within our financial statements, we are currently evaluating the full impact of the OBBBA on our business.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following discussion and analysis of our financial results should be read in conjunction with the condensed consolidated financial statements and corresponding notes (the “financial statements”) included elsewhere in this Quarterly Report on Form 10-Q. The following discussion and analysis provide information management believes to be relevant to understanding the financial results of GE HealthCare Technologies Inc. and its subsidiaries (“GE HealthCare,” the “Company,” “our,” “us,” or “we”) for the three and six months ended June 30, 2025 and 2024. For a full understanding of our financial condition and results of operations, the below discussion should be read alongside the Management’s Discussion and Analysis of Financial Condition and Results of Operations included in our Annual Report on Form 10-K for the fiscal year ended December 31, 2024. This discussion contains forward-looking statements that are based upon current expectations and are subject to uncertainty and changes in circumstances; see “Forward-Looking Statements.” Our actual results could differ materially from the results contemplated by these forward-looking statements due to a number of factors, including those discussed below and elsewhere in this Quarterly Report on Form 10-Q, and particularly in Item 1A, “Risk Factors” in our Annual Report on Form 10-K for the fiscal year ended December 31, 2024.</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On January 3, 2023, General Electric Company, which now operates as GE Aerospace (“GE”), completed the spin-off of GE HealthCare Technologies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“Spin-Off”).</w:t>
      </w:r>
    </w:p>
    <w:p>
      <w:pPr>
        <w:spacing w:after="0" w:line="246"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The following tables are presented in millions of United States (“U.S.”) dollars unless otherwise stated, except for per-share amounts which are presented in U.S. dollars. Certain columns and rows may not sum due to the use of rounded numbers. Percentages presented are calculated from the underlying whole-dollar amounts and, unless otherwise stated, represent changes year-over-year.</w:t>
      </w:r>
    </w:p>
    <w:p>
      <w:pPr>
        <w:spacing w:after="0" w:line="19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Effective July 1, 2024, Image Guided Therapies, previously part of the Imaging segment, was realigned to the Ultrasound segment. The Ultrasound segment was subsequently renamed Advanced Visualization Solutions (“AVS”). Following this realignment, the Company continues to have four reportable segments: Imaging, Advanced Visualization Solutions, Patient Care Solutions (“PCS”), and Pharmaceutical Diagnostics (“PDx”). These segments have been identified based on the nature of the products sold and how the Company manages its operations. Historical segment financial information presented within this report has been recast to conform to the new reportable segments structure. For additional information on our segments, refer to Note 3, “Segment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FACTORS IMPACTING OUR PERFORMANCE</w:t>
      </w:r>
    </w:p>
    <w:p>
      <w:pPr>
        <w:spacing w:after="0" w:line="257"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We believe that our performance and future success depend on a number of factors that present significant opportunities for us but also pose risks and challenges, including those discussed below and particularly in Item 1A, “Risk Factors” in our Annual Report on Form 10-K for the fiscal year ended December 31, 2024.</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TRENDS AFFECTING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Global Trade and Macroeconomic Environment</w:t>
      </w:r>
    </w:p>
    <w:p>
      <w:pPr>
        <w:spacing w:after="0" w:line="6"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Throughout the first half of 2025, the U.S. imposed a variety of new tariffs on most imports from all countries in the world. This in turn prompted a few countries to announce tariffs on U.S. imports. While the situation continues to be fluid, tariffs materially impacted our profitability and cash flows for the three months ended June 30, 2025, primarily the bilateral U.S. and Chinese tariffs and U.S. tariffs on all other global import suppliers. Should the tariffs continue at formally communicated levels, we expect to continue to see a material impact to our financial results through the incurrence of additional costs. Additional tariffs or other trade restrictions by the U.S. or other countries where we do significant business, or other restrictions on specific industries, such as pharmaceuticals, could further materially impact our results in the future. While we are taking actions to mitigate the impact of tariffs, we do not expect to be able to fully offset the additional costs or other negative impacts resulting from the tariffs.</w:t>
      </w:r>
    </w:p>
    <w:p>
      <w:pPr>
        <w:spacing w:after="0" w:line="23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continue to monitor the global markets in which we operate for changes in customer behavior, changes in government spending and reimbursement, and indirect impacts from the tariffs. Should these factors dampen economic growth, slow global trade, or impact inflation, we could see adverse impacts to our business as our customers adapt to the change in economic environment. We continue to monitor potential impacts on purchasing decisions by both public and private customers in China and other markets as a result of the current trade environment, as well as other actions related to tariffs and trade frictions, investigations, or activities that could similarly increase our costs or otherwise impact our business. In addition, if negative sentiment towards U.S. companies influences the purchasing decisions of global customers, our business could be impacted materially.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China Market</w:t>
      </w:r>
    </w:p>
    <w:p>
      <w:pPr>
        <w:spacing w:after="0" w:line="19"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We continue to monitor developments in the market in China. In March 2024, the government in China announced a new stimulus program (“2024 stimulus”) that includes the healthcare sector and is being implemented through China’s provinces. We expect the 2024 stimulus program will result in opportunities for our business in China in the longer term, but it has had short-term impacts as provinces develop and announce their plans and customers begin to make purchasing decisions, which has progressed slower than originally anticipated. We expect these delays to continue to impact our orders and revenues in the near term, although we are unable to predict the exact duration or magnitude of the impact. We believe the focus of government policy in China on expanding access to healthcare should benefit our business in China in the long term.</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Russia and Ukraine Conflict</w:t>
      </w:r>
    </w:p>
    <w:p>
      <w:pPr>
        <w:spacing w:after="0" w:line="1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had $182 million and $162 million of assets in, or directly related to, Russia and Ukraine as of June 30, 2025 and December 31, 2024, respectively, none of which are subject to sanctions that impact the carrying value of the assets. We generated revenues of $123 million and $161 million from customers in these two countries for the six months ended June 30, 2025 and 2024, respectively. The potential inability to repatriate earnings from these two countries will not have a material impact on our ability to operate.</w:t>
      </w:r>
    </w:p>
    <w:p>
      <w:pPr>
        <w:spacing w:after="0" w:line="200"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continue to monitor the effects of Russia’s invasion of Ukraine, including the consideration of financial impact, cybersecurity risks, the applicability and effect of sanctions, and the employee base in Ukraine and Russia. Under the current U.S. Department of Commerce regulations, we are permitted to export, re-export, or transfer medical equipment and spare parts that meet stated criteria under a License Exception, which has eliminated the need for us to obtain individual U.S. licenses in most cases; however, licenses still may be needed for some transactions. The European Union and other countries have also expanded licensing requirements for certain spare parts, services, software, and other items. We will continue to apply for licenses to supply to these customers and to support our business in Russia, as required. The implementation of these measures affected our ability to supply customers in Russia during the six months ended June 30, 2025 and 2024 and will continue to do so as we confirm applicability of the U.S. License Exception to our transactions and continue to obtain licenses. There is no guarantee we will obtain all of the licenses for which we applied, that any approvals we obtain will be on a timely basis, or that our business in Russia will not be further disrupted due to evolving legal or operational considerations. We will continue to assess whether developments related to the conflict have had, or are reasonably likely to have, a material impact on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Middle East Conflicts</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Geopolitical instability, including the recent conflict between Israel and Iran and other disruptions in the region, could adversely impact our operations, supply chains, and logistics. These events may result in increased costs, delays in product deliveries, and challenges in maintaining service levels in affected areas. While these events have not materially impacted our operations, we continue to monitor these developments closely.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U.S. Legislation</w:t>
      </w:r>
    </w:p>
    <w:p>
      <w:pPr>
        <w:spacing w:after="0" w:line="19"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color w:val="auto"/>
        </w:rPr>
        <w:t>On July 4, 2025, the President signed into law the One Big Beautiful Bill Act (“OBBBA”), which includes, among other things, significant changes to the U.S. federal income tax system. While we do not expect that the OBBBA will have a material impact on our income taxes within our financial statements, we are currently evaluating the full impact of the OBBBA on our business.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PERFORMANCE MEASURES</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Management reviews and analyzes several key performance measures including Total revenues, Operating income, Net income attributable to GE HealthCare, Earnings per share, and Cash from (used for) operating activities. Management also reviews and analyzes Organic revenue*, Adjusted earnings before interest and taxes* (“Adjusted EBIT*”), Adjusted net income*, Adjusted tax expense*, Adjusted effective tax rate* (“Adjusted ETR*”), Adjusted earnings per share*, and Free cash flow*, which are non-GAAP financial measures. These measures are reviewed and analyzed in order to evaluate our business performance, identify trends affecting our business, allocate capital, and make strategic decisions, including those discussed below. See “Results of Operations” and “Liquidity and Capital Resources” below for further discussion on our key performance measures.</w:t>
      </w:r>
    </w:p>
    <w:p>
      <w:pPr>
        <w:spacing w:after="0" w:line="203"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non-GAAP financial measures should be considered along with the most directly comparable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below under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our results of operations for each of the periods presented.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gridSpan w:val="5"/>
          </w:tcPr>
          <w:p>
            <w:pPr>
              <w:ind w:left="20"/>
              <w:spacing w:after="0"/>
              <w:rPr>
                <w:sz w:val="20"/>
                <w:szCs w:val="20"/>
                <w:color w:val="auto"/>
              </w:rPr>
            </w:pPr>
            <w:r>
              <w:rPr>
                <w:rFonts w:ascii="Arial" w:cs="Arial" w:eastAsia="Arial" w:hAnsi="Arial"/>
                <w:sz w:val="16"/>
                <w:szCs w:val="16"/>
                <w:b w:val="1"/>
                <w:bCs w:val="1"/>
                <w:color w:val="auto"/>
              </w:rPr>
              <w:t>Condensed Consolidated Statements of Income (Unaudited)</w:t>
            </w:r>
          </w:p>
        </w:tc>
        <w:tc>
          <w:tcPr>
            <w:tcW w:w="560" w:type="dxa"/>
            <w:vAlign w:val="bottom"/>
          </w:tcPr>
          <w:p>
            <w:pPr>
              <w:spacing w:after="0"/>
              <w:rPr>
                <w:sz w:val="19"/>
                <w:szCs w:val="19"/>
                <w:color w:val="auto"/>
              </w:rPr>
            </w:pPr>
          </w:p>
        </w:tc>
        <w:tc>
          <w:tcPr>
            <w:tcW w:w="3000" w:type="dxa"/>
            <w:vAlign w:val="bottom"/>
            <w:gridSpan w:val="8"/>
          </w:tcPr>
          <w:p>
            <w:pPr>
              <w:ind w:left="60"/>
              <w:spacing w:after="0"/>
              <w:rPr>
                <w:sz w:val="20"/>
                <w:szCs w:val="20"/>
                <w:color w:val="auto"/>
              </w:rPr>
            </w:pPr>
            <w:r>
              <w:rPr>
                <w:rFonts w:ascii="Arial" w:cs="Arial" w:eastAsia="Arial" w:hAnsi="Arial"/>
                <w:sz w:val="16"/>
                <w:szCs w:val="16"/>
                <w:b w:val="1"/>
                <w:bCs w:val="1"/>
                <w:color w:val="454545"/>
              </w:rPr>
              <w:t>For the three months ended June 30</w:t>
            </w:r>
          </w:p>
        </w:tc>
        <w:tc>
          <w:tcPr>
            <w:tcW w:w="29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454545"/>
            </w:tcBorders>
            <w:gridSpan w:val="2"/>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r>
      <w:tr>
        <w:trPr>
          <w:trHeight w:val="229"/>
        </w:trPr>
        <w:tc>
          <w:tcPr>
            <w:tcW w:w="2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454545"/>
              </w:rPr>
              <w:t>2025</w:t>
            </w:r>
          </w:p>
        </w:tc>
        <w:tc>
          <w:tcPr>
            <w:tcW w:w="380" w:type="dxa"/>
            <w:vAlign w:val="bottom"/>
          </w:tcPr>
          <w:p>
            <w:pPr>
              <w:spacing w:after="0"/>
              <w:rPr>
                <w:sz w:val="19"/>
                <w:szCs w:val="19"/>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2024</w:t>
            </w:r>
          </w:p>
        </w:tc>
      </w:tr>
      <w:tr>
        <w:trPr>
          <w:trHeight w:val="21"/>
        </w:trPr>
        <w:tc>
          <w:tcPr>
            <w:tcW w:w="26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72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gridSpan w:val="2"/>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60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r>
      <w:tr>
        <w:trPr>
          <w:trHeight w:val="230"/>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of products</w:t>
            </w:r>
          </w:p>
        </w:tc>
        <w:tc>
          <w:tcPr>
            <w:tcW w:w="34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gridSpan w:val="2"/>
            <w:shd w:val="clear" w:color="auto" w:fill="E4E4E4"/>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3,263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3,207</w:t>
            </w:r>
          </w:p>
        </w:tc>
        <w:tc>
          <w:tcPr>
            <w:tcW w:w="8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jc w:val="right"/>
              <w:ind w:right="6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6,380</w:t>
            </w:r>
          </w:p>
        </w:tc>
        <w:tc>
          <w:tcPr>
            <w:tcW w:w="38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6,253</w:t>
            </w:r>
          </w:p>
        </w:tc>
      </w:tr>
      <w:tr>
        <w:trPr>
          <w:trHeight w:val="227"/>
        </w:trPr>
        <w:tc>
          <w:tcPr>
            <w:tcW w:w="262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1,632</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3,404</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3,237</w:t>
            </w:r>
          </w:p>
        </w:tc>
      </w:tr>
      <w:tr>
        <w:trPr>
          <w:trHeight w:val="29"/>
        </w:trPr>
        <w:tc>
          <w:tcPr>
            <w:tcW w:w="2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Borders>
              <w:bottom w:val="single" w:sz="8" w:color="E4E4E4"/>
            </w:tcBorders>
            <w:shd w:val="clear" w:color="auto" w:fill="E4E4E4"/>
          </w:tcPr>
          <w:p>
            <w:pPr>
              <w:spacing w:after="0"/>
              <w:rPr>
                <w:sz w:val="21"/>
                <w:szCs w:val="21"/>
                <w:color w:val="auto"/>
              </w:rPr>
            </w:pPr>
          </w:p>
        </w:tc>
        <w:tc>
          <w:tcPr>
            <w:tcW w:w="700" w:type="dxa"/>
            <w:vAlign w:val="bottom"/>
            <w:tcBorders>
              <w:bottom w:val="single" w:sz="8" w:color="E4E4E4"/>
            </w:tcBorders>
            <w:shd w:val="clear" w:color="auto" w:fill="E4E4E4"/>
          </w:tcPr>
          <w:p>
            <w:pPr>
              <w:spacing w:after="0"/>
              <w:rPr>
                <w:sz w:val="21"/>
                <w:szCs w:val="21"/>
                <w:color w:val="auto"/>
              </w:rPr>
            </w:pPr>
          </w:p>
        </w:tc>
        <w:tc>
          <w:tcPr>
            <w:tcW w:w="360" w:type="dxa"/>
            <w:vAlign w:val="bottom"/>
            <w:tcBorders>
              <w:bottom w:val="single" w:sz="8" w:color="E4E4E4"/>
            </w:tcBorders>
            <w:shd w:val="clear" w:color="auto" w:fill="E4E4E4"/>
          </w:tcPr>
          <w:p>
            <w:pPr>
              <w:spacing w:after="0"/>
              <w:rPr>
                <w:sz w:val="21"/>
                <w:szCs w:val="21"/>
                <w:color w:val="auto"/>
              </w:rPr>
            </w:pPr>
          </w:p>
        </w:tc>
        <w:tc>
          <w:tcPr>
            <w:tcW w:w="720" w:type="dxa"/>
            <w:vAlign w:val="bottom"/>
            <w:tcBorders>
              <w:bottom w:val="single" w:sz="8" w:color="E4E4E4"/>
            </w:tcBorders>
            <w:shd w:val="clear" w:color="auto" w:fill="E4E4E4"/>
          </w:tcPr>
          <w:p>
            <w:pPr>
              <w:spacing w:after="0"/>
              <w:rPr>
                <w:sz w:val="21"/>
                <w:szCs w:val="21"/>
                <w:color w:val="auto"/>
              </w:rPr>
            </w:pPr>
          </w:p>
        </w:tc>
        <w:tc>
          <w:tcPr>
            <w:tcW w:w="560" w:type="dxa"/>
            <w:vAlign w:val="bottom"/>
            <w:tcBorders>
              <w:bottom w:val="single" w:sz="8" w:color="E4E4E4"/>
            </w:tcBorders>
            <w:shd w:val="clear" w:color="auto" w:fill="E4E4E4"/>
          </w:tcPr>
          <w:p>
            <w:pPr>
              <w:spacing w:after="0"/>
              <w:rPr>
                <w:sz w:val="21"/>
                <w:szCs w:val="21"/>
                <w:color w:val="auto"/>
              </w:rPr>
            </w:pPr>
          </w:p>
        </w:tc>
        <w:tc>
          <w:tcPr>
            <w:tcW w:w="42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5,007</w:t>
            </w:r>
          </w:p>
        </w:tc>
        <w:tc>
          <w:tcPr>
            <w:tcW w:w="16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4,839</w:t>
            </w:r>
          </w:p>
        </w:tc>
        <w:tc>
          <w:tcPr>
            <w:tcW w:w="8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9,784</w:t>
            </w:r>
          </w:p>
        </w:tc>
        <w:tc>
          <w:tcPr>
            <w:tcW w:w="38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9,489</w:t>
            </w:r>
          </w:p>
        </w:tc>
      </w:tr>
      <w:tr>
        <w:trPr>
          <w:trHeight w:val="221"/>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2,160</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2,045</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4,122</w:t>
            </w: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4,012</w:t>
            </w:r>
          </w:p>
        </w:tc>
      </w:tr>
      <w:tr>
        <w:trPr>
          <w:trHeight w:val="29"/>
        </w:trPr>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1"/>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Cost of services</w:t>
            </w:r>
          </w:p>
        </w:tc>
        <w:tc>
          <w:tcPr>
            <w:tcW w:w="34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spacing w:after="0"/>
              <w:rPr>
                <w:sz w:val="22"/>
                <w:szCs w:val="22"/>
                <w:color w:val="auto"/>
              </w:rPr>
            </w:pPr>
          </w:p>
        </w:tc>
        <w:tc>
          <w:tcPr>
            <w:tcW w:w="360" w:type="dxa"/>
            <w:vAlign w:val="bottom"/>
            <w:tcBorders>
              <w:bottom w:val="single" w:sz="8" w:color="E4E4E4"/>
            </w:tcBorders>
            <w:shd w:val="clear" w:color="auto" w:fill="E4E4E4"/>
          </w:tcPr>
          <w:p>
            <w:pPr>
              <w:spacing w:after="0"/>
              <w:rPr>
                <w:sz w:val="22"/>
                <w:szCs w:val="22"/>
                <w:color w:val="auto"/>
              </w:rPr>
            </w:pPr>
          </w:p>
        </w:tc>
        <w:tc>
          <w:tcPr>
            <w:tcW w:w="72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spacing w:after="0"/>
              <w:rPr>
                <w:sz w:val="22"/>
                <w:szCs w:val="22"/>
                <w:color w:val="auto"/>
              </w:rPr>
            </w:pPr>
          </w:p>
        </w:tc>
        <w:tc>
          <w:tcPr>
            <w:tcW w:w="42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863</w:t>
            </w:r>
          </w:p>
        </w:tc>
        <w:tc>
          <w:tcPr>
            <w:tcW w:w="16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792</w:t>
            </w:r>
          </w:p>
        </w:tc>
        <w:tc>
          <w:tcPr>
            <w:tcW w:w="8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1,665</w:t>
            </w:r>
          </w:p>
        </w:tc>
        <w:tc>
          <w:tcPr>
            <w:tcW w:w="38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1,574</w:t>
            </w:r>
          </w:p>
        </w:tc>
      </w:tr>
      <w:tr>
        <w:trPr>
          <w:trHeight w:val="229"/>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1,985</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2,002</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3,997</w:t>
            </w: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3,904</w:t>
            </w: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0"/>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1,029</w:t>
            </w:r>
          </w:p>
        </w:tc>
        <w:tc>
          <w:tcPr>
            <w:tcW w:w="1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1,067</w:t>
            </w:r>
          </w:p>
        </w:tc>
        <w:tc>
          <w:tcPr>
            <w:tcW w:w="8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2,069</w:t>
            </w:r>
          </w:p>
        </w:tc>
        <w:tc>
          <w:tcPr>
            <w:tcW w:w="38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2,105</w:t>
            </w:r>
          </w:p>
        </w:tc>
      </w:tr>
      <w:tr>
        <w:trPr>
          <w:trHeight w:val="228"/>
        </w:trPr>
        <w:tc>
          <w:tcPr>
            <w:tcW w:w="26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327</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646</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29"/>
        </w:trPr>
        <w:tc>
          <w:tcPr>
            <w:tcW w:w="2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340" w:type="dxa"/>
            <w:vAlign w:val="bottom"/>
            <w:tcBorders>
              <w:bottom w:val="single" w:sz="8" w:color="E4E4E4"/>
            </w:tcBorders>
            <w:shd w:val="clear" w:color="auto" w:fill="E4E4E4"/>
          </w:tcPr>
          <w:p>
            <w:pPr>
              <w:spacing w:after="0"/>
              <w:rPr>
                <w:sz w:val="21"/>
                <w:szCs w:val="21"/>
                <w:color w:val="auto"/>
              </w:rPr>
            </w:pPr>
          </w:p>
        </w:tc>
        <w:tc>
          <w:tcPr>
            <w:tcW w:w="700" w:type="dxa"/>
            <w:vAlign w:val="bottom"/>
            <w:tcBorders>
              <w:bottom w:val="single" w:sz="8" w:color="E4E4E4"/>
            </w:tcBorders>
            <w:shd w:val="clear" w:color="auto" w:fill="E4E4E4"/>
          </w:tcPr>
          <w:p>
            <w:pPr>
              <w:spacing w:after="0"/>
              <w:rPr>
                <w:sz w:val="21"/>
                <w:szCs w:val="21"/>
                <w:color w:val="auto"/>
              </w:rPr>
            </w:pPr>
          </w:p>
        </w:tc>
        <w:tc>
          <w:tcPr>
            <w:tcW w:w="360" w:type="dxa"/>
            <w:vAlign w:val="bottom"/>
            <w:tcBorders>
              <w:bottom w:val="single" w:sz="8" w:color="E4E4E4"/>
            </w:tcBorders>
            <w:shd w:val="clear" w:color="auto" w:fill="E4E4E4"/>
          </w:tcPr>
          <w:p>
            <w:pPr>
              <w:spacing w:after="0"/>
              <w:rPr>
                <w:sz w:val="21"/>
                <w:szCs w:val="21"/>
                <w:color w:val="auto"/>
              </w:rPr>
            </w:pPr>
          </w:p>
        </w:tc>
        <w:tc>
          <w:tcPr>
            <w:tcW w:w="720" w:type="dxa"/>
            <w:vAlign w:val="bottom"/>
            <w:tcBorders>
              <w:bottom w:val="single" w:sz="8" w:color="E4E4E4"/>
            </w:tcBorders>
            <w:shd w:val="clear" w:color="auto" w:fill="E4E4E4"/>
          </w:tcPr>
          <w:p>
            <w:pPr>
              <w:spacing w:after="0"/>
              <w:rPr>
                <w:sz w:val="21"/>
                <w:szCs w:val="21"/>
                <w:color w:val="auto"/>
              </w:rPr>
            </w:pPr>
          </w:p>
        </w:tc>
        <w:tc>
          <w:tcPr>
            <w:tcW w:w="560" w:type="dxa"/>
            <w:vAlign w:val="bottom"/>
            <w:tcBorders>
              <w:bottom w:val="single" w:sz="8" w:color="E4E4E4"/>
            </w:tcBorders>
            <w:shd w:val="clear" w:color="auto" w:fill="E4E4E4"/>
          </w:tcPr>
          <w:p>
            <w:pPr>
              <w:spacing w:after="0"/>
              <w:rPr>
                <w:sz w:val="21"/>
                <w:szCs w:val="21"/>
                <w:color w:val="auto"/>
              </w:rPr>
            </w:pPr>
          </w:p>
        </w:tc>
        <w:tc>
          <w:tcPr>
            <w:tcW w:w="42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1,331</w:t>
            </w:r>
          </w:p>
        </w:tc>
        <w:tc>
          <w:tcPr>
            <w:tcW w:w="16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1,395</w:t>
            </w:r>
          </w:p>
        </w:tc>
        <w:tc>
          <w:tcPr>
            <w:tcW w:w="8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2,714</w:t>
            </w:r>
          </w:p>
        </w:tc>
        <w:tc>
          <w:tcPr>
            <w:tcW w:w="38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2,756</w:t>
            </w:r>
          </w:p>
        </w:tc>
      </w:tr>
      <w:tr>
        <w:trPr>
          <w:trHeight w:val="229"/>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654</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608</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1,283</w:t>
            </w: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1,148</w:t>
            </w:r>
          </w:p>
        </w:tc>
      </w:tr>
      <w:tr>
        <w:trPr>
          <w:trHeight w:val="21"/>
        </w:trPr>
        <w:tc>
          <w:tcPr>
            <w:tcW w:w="2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7"/>
        </w:trPr>
        <w:tc>
          <w:tcPr>
            <w:tcW w:w="296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70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w:t>
            </w:r>
          </w:p>
        </w:tc>
        <w:tc>
          <w:tcPr>
            <w:tcW w:w="1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131</w:t>
            </w:r>
          </w:p>
        </w:tc>
        <w:tc>
          <w:tcPr>
            <w:tcW w:w="8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224</w:t>
            </w:r>
          </w:p>
        </w:tc>
        <w:tc>
          <w:tcPr>
            <w:tcW w:w="38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254</w:t>
            </w:r>
          </w:p>
        </w:tc>
      </w:tr>
      <w:tr>
        <w:trPr>
          <w:trHeight w:val="227"/>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Non-operating benefit (income) costs</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(148)</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9"/>
        </w:trPr>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1"/>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(income) expense – net</w:t>
            </w:r>
          </w:p>
        </w:tc>
        <w:tc>
          <w:tcPr>
            <w:tcW w:w="34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spacing w:after="0"/>
              <w:rPr>
                <w:sz w:val="22"/>
                <w:szCs w:val="22"/>
                <w:color w:val="auto"/>
              </w:rPr>
            </w:pPr>
          </w:p>
        </w:tc>
        <w:tc>
          <w:tcPr>
            <w:tcW w:w="360" w:type="dxa"/>
            <w:vAlign w:val="bottom"/>
            <w:tcBorders>
              <w:bottom w:val="single" w:sz="8" w:color="E4E4E4"/>
            </w:tcBorders>
            <w:shd w:val="clear" w:color="auto" w:fill="E4E4E4"/>
          </w:tcPr>
          <w:p>
            <w:pPr>
              <w:spacing w:after="0"/>
              <w:rPr>
                <w:sz w:val="22"/>
                <w:szCs w:val="22"/>
                <w:color w:val="auto"/>
              </w:rPr>
            </w:pPr>
          </w:p>
        </w:tc>
        <w:tc>
          <w:tcPr>
            <w:tcW w:w="72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spacing w:after="0"/>
              <w:rPr>
                <w:sz w:val="22"/>
                <w:szCs w:val="22"/>
                <w:color w:val="auto"/>
              </w:rPr>
            </w:pPr>
          </w:p>
        </w:tc>
        <w:tc>
          <w:tcPr>
            <w:tcW w:w="42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(98)</w:t>
            </w:r>
          </w:p>
        </w:tc>
        <w:tc>
          <w:tcPr>
            <w:tcW w:w="38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613</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578</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1,304</w:t>
            </w: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1,090</w:t>
            </w:r>
          </w:p>
        </w:tc>
      </w:tr>
      <w:tr>
        <w:trPr>
          <w:trHeight w:val="21"/>
        </w:trPr>
        <w:tc>
          <w:tcPr>
            <w:tcW w:w="2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62"/>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spacing w:after="0"/>
              <w:rPr>
                <w:sz w:val="22"/>
                <w:szCs w:val="22"/>
                <w:color w:val="auto"/>
              </w:rPr>
            </w:pPr>
          </w:p>
        </w:tc>
        <w:tc>
          <w:tcPr>
            <w:tcW w:w="360" w:type="dxa"/>
            <w:vAlign w:val="bottom"/>
            <w:tcBorders>
              <w:bottom w:val="single" w:sz="8" w:color="E4E4E4"/>
            </w:tcBorders>
            <w:shd w:val="clear" w:color="auto" w:fill="E4E4E4"/>
          </w:tcPr>
          <w:p>
            <w:pPr>
              <w:spacing w:after="0"/>
              <w:rPr>
                <w:sz w:val="22"/>
                <w:szCs w:val="22"/>
                <w:color w:val="auto"/>
              </w:rPr>
            </w:pPr>
          </w:p>
        </w:tc>
        <w:tc>
          <w:tcPr>
            <w:tcW w:w="72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spacing w:after="0"/>
              <w:rPr>
                <w:sz w:val="22"/>
                <w:szCs w:val="22"/>
                <w:color w:val="auto"/>
              </w:rPr>
            </w:pPr>
          </w:p>
        </w:tc>
        <w:tc>
          <w:tcPr>
            <w:tcW w:w="42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w:t>
            </w:r>
          </w:p>
        </w:tc>
        <w:tc>
          <w:tcPr>
            <w:tcW w:w="16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(143)</w:t>
            </w:r>
          </w:p>
        </w:tc>
        <w:tc>
          <w:tcPr>
            <w:tcW w:w="8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(216)</w:t>
            </w:r>
          </w:p>
        </w:tc>
        <w:tc>
          <w:tcPr>
            <w:tcW w:w="38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(267)</w:t>
            </w:r>
          </w:p>
        </w:tc>
      </w:tr>
      <w:tr>
        <w:trPr>
          <w:trHeight w:val="229"/>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500</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435</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1,088</w:t>
            </w:r>
          </w:p>
        </w:tc>
        <w:tc>
          <w:tcPr>
            <w:tcW w:w="3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823</w:t>
            </w:r>
          </w:p>
        </w:tc>
      </w:tr>
      <w:tr>
        <w:trPr>
          <w:trHeight w:val="21"/>
        </w:trPr>
        <w:tc>
          <w:tcPr>
            <w:tcW w:w="4020" w:type="dxa"/>
            <w:vAlign w:val="bottom"/>
            <w:tcBorders>
              <w:bottom w:val="single" w:sz="8" w:color="auto"/>
            </w:tcBorders>
            <w:gridSpan w:val="4"/>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5"/>
        </w:trPr>
        <w:tc>
          <w:tcPr>
            <w:tcW w:w="4020" w:type="dxa"/>
            <w:vAlign w:val="bottom"/>
            <w:tcBorders>
              <w:bottom w:val="single" w:sz="8" w:color="E4E4E4"/>
            </w:tcBorders>
            <w:gridSpan w:val="4"/>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720" w:type="dxa"/>
            <w:vAlign w:val="bottom"/>
            <w:tcBorders>
              <w:bottom w:val="single" w:sz="8" w:color="E4E4E4"/>
            </w:tcBorders>
            <w:shd w:val="clear" w:color="auto" w:fill="E4E4E4"/>
          </w:tcPr>
          <w:p>
            <w:pPr>
              <w:spacing w:after="0"/>
              <w:rPr>
                <w:sz w:val="21"/>
                <w:szCs w:val="21"/>
                <w:color w:val="auto"/>
              </w:rPr>
            </w:pPr>
          </w:p>
        </w:tc>
        <w:tc>
          <w:tcPr>
            <w:tcW w:w="560" w:type="dxa"/>
            <w:vAlign w:val="bottom"/>
            <w:tcBorders>
              <w:bottom w:val="single" w:sz="8" w:color="E4E4E4"/>
            </w:tcBorders>
            <w:shd w:val="clear" w:color="auto" w:fill="E4E4E4"/>
          </w:tcPr>
          <w:p>
            <w:pPr>
              <w:spacing w:after="0"/>
              <w:rPr>
                <w:sz w:val="21"/>
                <w:szCs w:val="21"/>
                <w:color w:val="auto"/>
              </w:rPr>
            </w:pPr>
          </w:p>
        </w:tc>
        <w:tc>
          <w:tcPr>
            <w:tcW w:w="42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16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380" w:type="dxa"/>
            <w:vAlign w:val="bottom"/>
            <w:tcBorders>
              <w:bottom w:val="single" w:sz="8" w:color="E4E4E4"/>
            </w:tcBorders>
            <w:shd w:val="clear" w:color="auto" w:fill="E4E4E4"/>
          </w:tcPr>
          <w:p>
            <w:pPr>
              <w:spacing w:after="0"/>
              <w:rPr>
                <w:sz w:val="21"/>
                <w:szCs w:val="21"/>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r>
      <w:tr>
        <w:trPr>
          <w:trHeight w:val="229"/>
        </w:trPr>
        <w:tc>
          <w:tcPr>
            <w:tcW w:w="366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428</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1,049</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802</w:t>
            </w: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26"/>
        </w:trPr>
        <w:tc>
          <w:tcPr>
            <w:tcW w:w="2620" w:type="dxa"/>
            <w:vAlign w:val="bottom"/>
          </w:tcPr>
          <w:p>
            <w:pPr>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13"/>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Revenues by Segment</w:t>
            </w:r>
          </w:p>
        </w:tc>
        <w:tc>
          <w:tcPr>
            <w:tcW w:w="340" w:type="dxa"/>
            <w:vAlign w:val="bottom"/>
          </w:tcPr>
          <w:p>
            <w:pPr>
              <w:spacing w:after="0"/>
              <w:rPr>
                <w:sz w:val="24"/>
                <w:szCs w:val="24"/>
                <w:color w:val="auto"/>
              </w:rPr>
            </w:pPr>
          </w:p>
        </w:tc>
        <w:tc>
          <w:tcPr>
            <w:tcW w:w="3780" w:type="dxa"/>
            <w:vAlign w:val="bottom"/>
            <w:gridSpan w:val="6"/>
          </w:tcPr>
          <w:p>
            <w:pPr>
              <w:jc w:val="right"/>
              <w:ind w:right="499"/>
              <w:spacing w:after="0"/>
              <w:rPr>
                <w:sz w:val="20"/>
                <w:szCs w:val="20"/>
                <w:color w:val="auto"/>
              </w:rPr>
            </w:pPr>
            <w:r>
              <w:rPr>
                <w:rFonts w:ascii="Arial" w:cs="Arial" w:eastAsia="Arial" w:hAnsi="Arial"/>
                <w:sz w:val="16"/>
                <w:szCs w:val="16"/>
                <w:b w:val="1"/>
                <w:bCs w:val="1"/>
                <w:color w:val="454545"/>
              </w:rPr>
              <w:t>For the three months ended June 30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gridSpan w:val="7"/>
          </w:tcPr>
          <w:p>
            <w:pPr>
              <w:jc w:val="right"/>
              <w:ind w:right="73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48"/>
        </w:trPr>
        <w:tc>
          <w:tcPr>
            <w:tcW w:w="2620" w:type="dxa"/>
            <w:vAlign w:val="bottom"/>
          </w:tcPr>
          <w:p>
            <w:pPr>
              <w:spacing w:after="0"/>
              <w:rPr>
                <w:sz w:val="4"/>
                <w:szCs w:val="4"/>
                <w:color w:val="auto"/>
              </w:rPr>
            </w:pPr>
          </w:p>
        </w:tc>
        <w:tc>
          <w:tcPr>
            <w:tcW w:w="340" w:type="dxa"/>
            <w:vAlign w:val="bottom"/>
            <w:tcBorders>
              <w:bottom w:val="single" w:sz="8" w:color="454545"/>
            </w:tcBorders>
          </w:tcPr>
          <w:p>
            <w:pPr>
              <w:spacing w:after="0"/>
              <w:rPr>
                <w:sz w:val="4"/>
                <w:szCs w:val="4"/>
                <w:color w:val="auto"/>
              </w:rPr>
            </w:pPr>
          </w:p>
        </w:tc>
        <w:tc>
          <w:tcPr>
            <w:tcW w:w="700" w:type="dxa"/>
            <w:vAlign w:val="bottom"/>
            <w:tcBorders>
              <w:bottom w:val="single" w:sz="8" w:color="454545"/>
            </w:tcBorders>
          </w:tcPr>
          <w:p>
            <w:pPr>
              <w:spacing w:after="0"/>
              <w:rPr>
                <w:sz w:val="4"/>
                <w:szCs w:val="4"/>
                <w:color w:val="auto"/>
              </w:rPr>
            </w:pPr>
          </w:p>
        </w:tc>
        <w:tc>
          <w:tcPr>
            <w:tcW w:w="360" w:type="dxa"/>
            <w:vAlign w:val="bottom"/>
            <w:tcBorders>
              <w:bottom w:val="single" w:sz="8" w:color="454545"/>
            </w:tcBorders>
          </w:tcPr>
          <w:p>
            <w:pPr>
              <w:spacing w:after="0"/>
              <w:rPr>
                <w:sz w:val="4"/>
                <w:szCs w:val="4"/>
                <w:color w:val="auto"/>
              </w:rPr>
            </w:pPr>
          </w:p>
        </w:tc>
        <w:tc>
          <w:tcPr>
            <w:tcW w:w="720" w:type="dxa"/>
            <w:vAlign w:val="bottom"/>
            <w:tcBorders>
              <w:bottom w:val="single" w:sz="8" w:color="454545"/>
            </w:tcBorders>
          </w:tcPr>
          <w:p>
            <w:pPr>
              <w:spacing w:after="0"/>
              <w:rPr>
                <w:sz w:val="4"/>
                <w:szCs w:val="4"/>
                <w:color w:val="auto"/>
              </w:rPr>
            </w:pPr>
          </w:p>
        </w:tc>
        <w:tc>
          <w:tcPr>
            <w:tcW w:w="560" w:type="dxa"/>
            <w:vAlign w:val="bottom"/>
            <w:tcBorders>
              <w:bottom w:val="single" w:sz="8" w:color="454545"/>
            </w:tcBorders>
          </w:tcPr>
          <w:p>
            <w:pPr>
              <w:spacing w:after="0"/>
              <w:rPr>
                <w:sz w:val="4"/>
                <w:szCs w:val="4"/>
                <w:color w:val="auto"/>
              </w:rPr>
            </w:pPr>
          </w:p>
        </w:tc>
        <w:tc>
          <w:tcPr>
            <w:tcW w:w="420" w:type="dxa"/>
            <w:vAlign w:val="bottom"/>
            <w:tcBorders>
              <w:bottom w:val="single" w:sz="8" w:color="454545"/>
            </w:tcBorders>
          </w:tcPr>
          <w:p>
            <w:pPr>
              <w:spacing w:after="0"/>
              <w:rPr>
                <w:sz w:val="4"/>
                <w:szCs w:val="4"/>
                <w:color w:val="auto"/>
              </w:rPr>
            </w:pPr>
          </w:p>
        </w:tc>
        <w:tc>
          <w:tcPr>
            <w:tcW w:w="1020" w:type="dxa"/>
            <w:vAlign w:val="bottom"/>
            <w:tcBorders>
              <w:bottom w:val="single" w:sz="8" w:color="454545"/>
            </w:tcBorders>
          </w:tcPr>
          <w:p>
            <w:pPr>
              <w:spacing w:after="0"/>
              <w:rPr>
                <w:sz w:val="4"/>
                <w:szCs w:val="4"/>
                <w:color w:val="auto"/>
              </w:rPr>
            </w:pPr>
          </w:p>
        </w:tc>
        <w:tc>
          <w:tcPr>
            <w:tcW w:w="160" w:type="dxa"/>
            <w:vAlign w:val="bottom"/>
            <w:tcBorders>
              <w:bottom w:val="single" w:sz="8" w:color="454545"/>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454545"/>
            </w:tcBorders>
          </w:tcPr>
          <w:p>
            <w:pPr>
              <w:spacing w:after="0"/>
              <w:rPr>
                <w:sz w:val="4"/>
                <w:szCs w:val="4"/>
                <w:color w:val="auto"/>
              </w:rPr>
            </w:pPr>
          </w:p>
        </w:tc>
        <w:tc>
          <w:tcPr>
            <w:tcW w:w="800" w:type="dxa"/>
            <w:vAlign w:val="bottom"/>
            <w:tcBorders>
              <w:bottom w:val="single" w:sz="8" w:color="454545"/>
            </w:tcBorders>
          </w:tcPr>
          <w:p>
            <w:pPr>
              <w:spacing w:after="0"/>
              <w:rPr>
                <w:sz w:val="4"/>
                <w:szCs w:val="4"/>
                <w:color w:val="auto"/>
              </w:rPr>
            </w:pPr>
          </w:p>
        </w:tc>
        <w:tc>
          <w:tcPr>
            <w:tcW w:w="220" w:type="dxa"/>
            <w:vAlign w:val="bottom"/>
            <w:tcBorders>
              <w:bottom w:val="single" w:sz="8" w:color="454545"/>
            </w:tcBorders>
          </w:tcPr>
          <w:p>
            <w:pPr>
              <w:spacing w:after="0"/>
              <w:rPr>
                <w:sz w:val="4"/>
                <w:szCs w:val="4"/>
                <w:color w:val="auto"/>
              </w:rPr>
            </w:pPr>
          </w:p>
        </w:tc>
        <w:tc>
          <w:tcPr>
            <w:tcW w:w="80" w:type="dxa"/>
            <w:vAlign w:val="bottom"/>
            <w:tcBorders>
              <w:bottom w:val="single" w:sz="8" w:color="454545"/>
            </w:tcBorders>
          </w:tcPr>
          <w:p>
            <w:pPr>
              <w:spacing w:after="0"/>
              <w:rPr>
                <w:sz w:val="4"/>
                <w:szCs w:val="4"/>
                <w:color w:val="auto"/>
              </w:rPr>
            </w:pPr>
          </w:p>
        </w:tc>
        <w:tc>
          <w:tcPr>
            <w:tcW w:w="800" w:type="dxa"/>
            <w:vAlign w:val="bottom"/>
            <w:tcBorders>
              <w:bottom w:val="single" w:sz="8" w:color="454545"/>
            </w:tcBorders>
          </w:tcPr>
          <w:p>
            <w:pPr>
              <w:spacing w:after="0"/>
              <w:rPr>
                <w:sz w:val="4"/>
                <w:szCs w:val="4"/>
                <w:color w:val="auto"/>
              </w:rPr>
            </w:pPr>
          </w:p>
        </w:tc>
        <w:tc>
          <w:tcPr>
            <w:tcW w:w="600" w:type="dxa"/>
            <w:vAlign w:val="bottom"/>
            <w:tcBorders>
              <w:bottom w:val="single" w:sz="8" w:color="454545"/>
            </w:tcBorders>
          </w:tcPr>
          <w:p>
            <w:pPr>
              <w:spacing w:after="0"/>
              <w:rPr>
                <w:sz w:val="4"/>
                <w:szCs w:val="4"/>
                <w:color w:val="auto"/>
              </w:rPr>
            </w:pPr>
          </w:p>
        </w:tc>
        <w:tc>
          <w:tcPr>
            <w:tcW w:w="380" w:type="dxa"/>
            <w:vAlign w:val="bottom"/>
            <w:tcBorders>
              <w:bottom w:val="single" w:sz="8" w:color="454545"/>
            </w:tcBorders>
          </w:tcPr>
          <w:p>
            <w:pPr>
              <w:spacing w:after="0"/>
              <w:rPr>
                <w:sz w:val="4"/>
                <w:szCs w:val="4"/>
                <w:color w:val="auto"/>
              </w:rPr>
            </w:pPr>
          </w:p>
        </w:tc>
        <w:tc>
          <w:tcPr>
            <w:tcW w:w="1160" w:type="dxa"/>
            <w:vAlign w:val="bottom"/>
            <w:tcBorders>
              <w:bottom w:val="single" w:sz="8" w:color="454545"/>
            </w:tcBorders>
          </w:tcPr>
          <w:p>
            <w:pPr>
              <w:spacing w:after="0"/>
              <w:rPr>
                <w:sz w:val="4"/>
                <w:szCs w:val="4"/>
                <w:color w:val="auto"/>
              </w:rPr>
            </w:pPr>
          </w:p>
        </w:tc>
      </w:tr>
      <w:tr>
        <w:trPr>
          <w:trHeight w:val="209"/>
        </w:trPr>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454545"/>
              </w:rPr>
              <w:t>% organic*</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454545"/>
              </w:rPr>
              <w:t>% organic*</w:t>
            </w:r>
          </w:p>
        </w:tc>
      </w:tr>
      <w:tr>
        <w:trPr>
          <w:trHeight w:val="223"/>
        </w:trPr>
        <w:tc>
          <w:tcPr>
            <w:tcW w:w="2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2025</w:t>
            </w:r>
          </w:p>
        </w:tc>
        <w:tc>
          <w:tcPr>
            <w:tcW w:w="360" w:type="dxa"/>
            <w:vAlign w:val="bottom"/>
          </w:tcPr>
          <w:p>
            <w:pPr>
              <w:spacing w:after="0"/>
              <w:rPr>
                <w:sz w:val="19"/>
                <w:szCs w:val="19"/>
                <w:color w:val="auto"/>
              </w:rPr>
            </w:pPr>
          </w:p>
        </w:tc>
        <w:tc>
          <w:tcPr>
            <w:tcW w:w="720" w:type="dxa"/>
            <w:vAlign w:val="bottom"/>
          </w:tcPr>
          <w:p>
            <w:pPr>
              <w:jc w:val="right"/>
              <w:ind w:right="279"/>
              <w:spacing w:after="0"/>
              <w:rPr>
                <w:sz w:val="20"/>
                <w:szCs w:val="20"/>
                <w:color w:val="auto"/>
              </w:rPr>
            </w:pPr>
            <w:r>
              <w:rPr>
                <w:rFonts w:ascii="Arial" w:cs="Arial" w:eastAsia="Arial" w:hAnsi="Arial"/>
                <w:sz w:val="16"/>
                <w:szCs w:val="16"/>
                <w:b w:val="1"/>
                <w:bCs w:val="1"/>
                <w:color w:val="454545"/>
                <w:w w:val="95"/>
              </w:rPr>
              <w:t>2024</w:t>
            </w:r>
          </w:p>
        </w:tc>
        <w:tc>
          <w:tcPr>
            <w:tcW w:w="9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454545"/>
              </w:rPr>
              <w:t>% change</w:t>
            </w: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454545"/>
              </w:rPr>
              <w:t>change</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2024</w:t>
            </w:r>
          </w:p>
        </w:tc>
        <w:tc>
          <w:tcPr>
            <w:tcW w:w="9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454545"/>
              </w:rPr>
              <w:t>% change</w:t>
            </w: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454545"/>
              </w:rPr>
              <w:t>change</w:t>
            </w:r>
          </w:p>
        </w:tc>
      </w:tr>
      <w:tr>
        <w:trPr>
          <w:trHeight w:val="21"/>
        </w:trPr>
        <w:tc>
          <w:tcPr>
            <w:tcW w:w="26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72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60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r>
      <w:tr>
        <w:trPr>
          <w:trHeight w:val="230"/>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Segment revenues</w:t>
            </w:r>
          </w:p>
        </w:tc>
        <w:tc>
          <w:tcPr>
            <w:tcW w:w="34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60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spacing w:after="0"/>
              <w:rPr>
                <w:sz w:val="20"/>
                <w:szCs w:val="20"/>
                <w:color w:val="auto"/>
              </w:rPr>
            </w:pPr>
          </w:p>
        </w:tc>
      </w:tr>
      <w:tr>
        <w:trPr>
          <w:trHeight w:val="268"/>
        </w:trPr>
        <w:tc>
          <w:tcPr>
            <w:tcW w:w="2620" w:type="dxa"/>
            <w:vAlign w:val="bottom"/>
          </w:tcPr>
          <w:p>
            <w:pPr>
              <w:ind w:left="300"/>
              <w:spacing w:after="0"/>
              <w:rPr>
                <w:sz w:val="20"/>
                <w:szCs w:val="20"/>
                <w:color w:val="auto"/>
              </w:rPr>
            </w:pPr>
            <w:r>
              <w:rPr>
                <w:rFonts w:ascii="Arial" w:cs="Arial" w:eastAsia="Arial" w:hAnsi="Arial"/>
                <w:sz w:val="16"/>
                <w:szCs w:val="16"/>
                <w:color w:val="auto"/>
              </w:rPr>
              <w:t>Imaging</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2,204</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2,171</w:t>
            </w:r>
          </w:p>
        </w:tc>
        <w:tc>
          <w:tcPr>
            <w:tcW w:w="980" w:type="dxa"/>
            <w:vAlign w:val="bottom"/>
            <w:gridSpan w:val="2"/>
          </w:tcPr>
          <w:p>
            <w:pPr>
              <w:jc w:val="right"/>
              <w:ind w:right="39"/>
              <w:spacing w:after="0"/>
              <w:rPr>
                <w:sz w:val="20"/>
                <w:szCs w:val="20"/>
                <w:color w:val="auto"/>
              </w:rPr>
            </w:pPr>
            <w:r>
              <w:rPr>
                <w:rFonts w:ascii="Arial" w:cs="Arial" w:eastAsia="Arial" w:hAnsi="Arial"/>
                <w:sz w:val="16"/>
                <w:szCs w:val="16"/>
                <w:color w:val="auto"/>
              </w:rPr>
              <w:t>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4,344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4,233</w:t>
            </w:r>
          </w:p>
        </w:tc>
        <w:tc>
          <w:tcPr>
            <w:tcW w:w="600" w:type="dxa"/>
            <w:vAlign w:val="bottom"/>
          </w:tcPr>
          <w:p>
            <w:pPr>
              <w:spacing w:after="0"/>
              <w:rPr>
                <w:sz w:val="23"/>
                <w:szCs w:val="23"/>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color w:val="auto"/>
                <w:w w:val="94"/>
              </w:rPr>
              <w:t>3%</w:t>
            </w: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262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AVS</w:t>
            </w:r>
          </w:p>
        </w:tc>
        <w:tc>
          <w:tcPr>
            <w:tcW w:w="340" w:type="dxa"/>
            <w:vAlign w:val="bottom"/>
            <w:tcBorders>
              <w:bottom w:val="single" w:sz="8" w:color="E4E4E4"/>
            </w:tcBorders>
            <w:shd w:val="clear" w:color="auto" w:fill="E4E4E4"/>
          </w:tcPr>
          <w:p>
            <w:pPr>
              <w:spacing w:after="0"/>
              <w:rPr>
                <w:sz w:val="24"/>
                <w:szCs w:val="24"/>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1,289</w:t>
            </w:r>
          </w:p>
        </w:tc>
        <w:tc>
          <w:tcPr>
            <w:tcW w:w="360" w:type="dxa"/>
            <w:vAlign w:val="bottom"/>
            <w:tcBorders>
              <w:bottom w:val="single" w:sz="8" w:color="E4E4E4"/>
            </w:tcBorders>
            <w:shd w:val="clear" w:color="auto" w:fill="E4E4E4"/>
          </w:tcPr>
          <w:p>
            <w:pPr>
              <w:spacing w:after="0"/>
              <w:rPr>
                <w:sz w:val="24"/>
                <w:szCs w:val="24"/>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1,249</w:t>
            </w:r>
          </w:p>
        </w:tc>
        <w:tc>
          <w:tcPr>
            <w:tcW w:w="980" w:type="dxa"/>
            <w:vAlign w:val="bottom"/>
            <w:tcBorders>
              <w:bottom w:val="single" w:sz="8" w:color="E4E4E4"/>
            </w:tcBorders>
            <w:gridSpan w:val="2"/>
            <w:shd w:val="clear" w:color="auto" w:fill="E4E4E4"/>
          </w:tcPr>
          <w:p>
            <w:pPr>
              <w:jc w:val="right"/>
              <w:ind w:right="39"/>
              <w:spacing w:after="0"/>
              <w:rPr>
                <w:sz w:val="20"/>
                <w:szCs w:val="20"/>
                <w:color w:val="auto"/>
              </w:rPr>
            </w:pPr>
            <w:r>
              <w:rPr>
                <w:rFonts w:ascii="Arial" w:cs="Arial" w:eastAsia="Arial" w:hAnsi="Arial"/>
                <w:sz w:val="16"/>
                <w:szCs w:val="16"/>
                <w:color w:val="auto"/>
              </w:rPr>
              <w:t>3%</w:t>
            </w:r>
          </w:p>
        </w:tc>
        <w:tc>
          <w:tcPr>
            <w:tcW w:w="118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E4E4E4"/>
            </w:tcBorders>
            <w:shd w:val="clear" w:color="auto" w:fill="E4E4E4"/>
          </w:tcPr>
          <w:p>
            <w:pPr>
              <w:spacing w:after="0"/>
              <w:rPr>
                <w:sz w:val="24"/>
                <w:szCs w:val="24"/>
                <w:color w:val="auto"/>
              </w:rPr>
            </w:pPr>
          </w:p>
        </w:tc>
        <w:tc>
          <w:tcPr>
            <w:tcW w:w="22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2,529</w:t>
            </w:r>
          </w:p>
        </w:tc>
        <w:tc>
          <w:tcPr>
            <w:tcW w:w="220" w:type="dxa"/>
            <w:vAlign w:val="bottom"/>
            <w:tcBorders>
              <w:bottom w:val="single" w:sz="8" w:color="E4E4E4"/>
            </w:tcBorders>
            <w:shd w:val="clear" w:color="auto" w:fill="E4E4E4"/>
          </w:tcPr>
          <w:p>
            <w:pPr>
              <w:spacing w:after="0"/>
              <w:rPr>
                <w:sz w:val="24"/>
                <w:szCs w:val="24"/>
                <w:color w:val="auto"/>
              </w:rPr>
            </w:pPr>
          </w:p>
        </w:tc>
        <w:tc>
          <w:tcPr>
            <w:tcW w:w="8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2,475</w:t>
            </w:r>
          </w:p>
        </w:tc>
        <w:tc>
          <w:tcPr>
            <w:tcW w:w="600" w:type="dxa"/>
            <w:vAlign w:val="bottom"/>
            <w:tcBorders>
              <w:bottom w:val="single" w:sz="8" w:color="E4E4E4"/>
            </w:tcBorders>
            <w:shd w:val="clear" w:color="auto" w:fill="E4E4E4"/>
          </w:tcPr>
          <w:p>
            <w:pPr>
              <w:spacing w:after="0"/>
              <w:rPr>
                <w:sz w:val="24"/>
                <w:szCs w:val="24"/>
                <w:color w:val="auto"/>
              </w:rPr>
            </w:pPr>
          </w:p>
        </w:tc>
        <w:tc>
          <w:tcPr>
            <w:tcW w:w="3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w w:val="94"/>
              </w:rPr>
              <w:t>2%</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68"/>
        </w:trPr>
        <w:tc>
          <w:tcPr>
            <w:tcW w:w="2620" w:type="dxa"/>
            <w:vAlign w:val="bottom"/>
          </w:tcPr>
          <w:p>
            <w:pPr>
              <w:ind w:left="300"/>
              <w:spacing w:after="0"/>
              <w:rPr>
                <w:sz w:val="20"/>
                <w:szCs w:val="20"/>
                <w:color w:val="auto"/>
              </w:rPr>
            </w:pPr>
            <w:r>
              <w:rPr>
                <w:rFonts w:ascii="Arial" w:cs="Arial" w:eastAsia="Arial" w:hAnsi="Arial"/>
                <w:sz w:val="16"/>
                <w:szCs w:val="16"/>
                <w:color w:val="auto"/>
              </w:rPr>
              <w:t>PCS</w:t>
            </w:r>
          </w:p>
        </w:tc>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778</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772</w:t>
            </w:r>
          </w:p>
        </w:tc>
        <w:tc>
          <w:tcPr>
            <w:tcW w:w="980" w:type="dxa"/>
            <w:vAlign w:val="bottom"/>
            <w:gridSpan w:val="2"/>
          </w:tcPr>
          <w:p>
            <w:pPr>
              <w:jc w:val="right"/>
              <w:ind w:right="39"/>
              <w:spacing w:after="0"/>
              <w:rPr>
                <w:sz w:val="20"/>
                <w:szCs w:val="20"/>
                <w:color w:val="auto"/>
              </w:rPr>
            </w:pPr>
            <w:r>
              <w:rPr>
                <w:rFonts w:ascii="Arial" w:cs="Arial" w:eastAsia="Arial" w:hAnsi="Arial"/>
                <w:sz w:val="16"/>
                <w:szCs w:val="16"/>
                <w:color w:val="auto"/>
              </w:rPr>
              <w:t>1%</w:t>
            </w: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1,531</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1,519</w:t>
            </w:r>
          </w:p>
        </w:tc>
        <w:tc>
          <w:tcPr>
            <w:tcW w:w="600" w:type="dxa"/>
            <w:vAlign w:val="bottom"/>
          </w:tcPr>
          <w:p>
            <w:pPr>
              <w:spacing w:after="0"/>
              <w:rPr>
                <w:sz w:val="23"/>
                <w:szCs w:val="23"/>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color w:val="auto"/>
                <w:w w:val="94"/>
              </w:rPr>
              <w:t>1%</w:t>
            </w: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2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r>
      <w:tr>
        <w:trPr>
          <w:trHeight w:val="277"/>
        </w:trPr>
        <w:tc>
          <w:tcPr>
            <w:tcW w:w="262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PDx</w:t>
            </w:r>
          </w:p>
        </w:tc>
        <w:tc>
          <w:tcPr>
            <w:tcW w:w="340" w:type="dxa"/>
            <w:vAlign w:val="bottom"/>
            <w:tcBorders>
              <w:bottom w:val="single" w:sz="8" w:color="E4E4E4"/>
            </w:tcBorders>
            <w:shd w:val="clear" w:color="auto" w:fill="E4E4E4"/>
          </w:tcPr>
          <w:p>
            <w:pPr>
              <w:spacing w:after="0"/>
              <w:rPr>
                <w:sz w:val="24"/>
                <w:szCs w:val="24"/>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729</w:t>
            </w:r>
          </w:p>
        </w:tc>
        <w:tc>
          <w:tcPr>
            <w:tcW w:w="360" w:type="dxa"/>
            <w:vAlign w:val="bottom"/>
            <w:tcBorders>
              <w:bottom w:val="single" w:sz="8" w:color="E4E4E4"/>
            </w:tcBorders>
            <w:shd w:val="clear" w:color="auto" w:fill="E4E4E4"/>
          </w:tcPr>
          <w:p>
            <w:pPr>
              <w:spacing w:after="0"/>
              <w:rPr>
                <w:sz w:val="24"/>
                <w:szCs w:val="24"/>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639</w:t>
            </w:r>
          </w:p>
        </w:tc>
        <w:tc>
          <w:tcPr>
            <w:tcW w:w="980" w:type="dxa"/>
            <w:vAlign w:val="bottom"/>
            <w:tcBorders>
              <w:bottom w:val="single" w:sz="8" w:color="E4E4E4"/>
            </w:tcBorders>
            <w:gridSpan w:val="2"/>
            <w:shd w:val="clear" w:color="auto" w:fill="E4E4E4"/>
          </w:tcPr>
          <w:p>
            <w:pPr>
              <w:jc w:val="right"/>
              <w:ind w:right="39"/>
              <w:spacing w:after="0"/>
              <w:rPr>
                <w:sz w:val="20"/>
                <w:szCs w:val="20"/>
                <w:color w:val="auto"/>
              </w:rPr>
            </w:pPr>
            <w:r>
              <w:rPr>
                <w:rFonts w:ascii="Arial" w:cs="Arial" w:eastAsia="Arial" w:hAnsi="Arial"/>
                <w:sz w:val="16"/>
                <w:szCs w:val="16"/>
                <w:color w:val="auto"/>
              </w:rPr>
              <w:t>14%</w:t>
            </w:r>
          </w:p>
        </w:tc>
        <w:tc>
          <w:tcPr>
            <w:tcW w:w="118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E4E4E4"/>
            </w:tcBorders>
            <w:shd w:val="clear" w:color="auto" w:fill="E4E4E4"/>
          </w:tcPr>
          <w:p>
            <w:pPr>
              <w:spacing w:after="0"/>
              <w:rPr>
                <w:sz w:val="24"/>
                <w:szCs w:val="24"/>
                <w:color w:val="auto"/>
              </w:rPr>
            </w:pPr>
          </w:p>
        </w:tc>
        <w:tc>
          <w:tcPr>
            <w:tcW w:w="22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1,362</w:t>
            </w:r>
          </w:p>
        </w:tc>
        <w:tc>
          <w:tcPr>
            <w:tcW w:w="220" w:type="dxa"/>
            <w:vAlign w:val="bottom"/>
            <w:tcBorders>
              <w:bottom w:val="single" w:sz="8" w:color="E4E4E4"/>
            </w:tcBorders>
            <w:shd w:val="clear" w:color="auto" w:fill="E4E4E4"/>
          </w:tcPr>
          <w:p>
            <w:pPr>
              <w:spacing w:after="0"/>
              <w:rPr>
                <w:sz w:val="24"/>
                <w:szCs w:val="24"/>
                <w:color w:val="auto"/>
              </w:rPr>
            </w:pPr>
          </w:p>
        </w:tc>
        <w:tc>
          <w:tcPr>
            <w:tcW w:w="8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1,238</w:t>
            </w:r>
          </w:p>
        </w:tc>
        <w:tc>
          <w:tcPr>
            <w:tcW w:w="980" w:type="dxa"/>
            <w:vAlign w:val="bottom"/>
            <w:tcBorders>
              <w:bottom w:val="single" w:sz="8" w:color="E4E4E4"/>
            </w:tcBorders>
            <w:gridSpan w:val="2"/>
            <w:shd w:val="clear" w:color="auto" w:fill="E4E4E4"/>
          </w:tcPr>
          <w:p>
            <w:pPr>
              <w:jc w:val="right"/>
              <w:ind w:right="59"/>
              <w:spacing w:after="0"/>
              <w:rPr>
                <w:sz w:val="20"/>
                <w:szCs w:val="20"/>
                <w:color w:val="auto"/>
              </w:rPr>
            </w:pPr>
            <w:r>
              <w:rPr>
                <w:rFonts w:ascii="Arial" w:cs="Arial" w:eastAsia="Arial" w:hAnsi="Arial"/>
                <w:sz w:val="16"/>
                <w:szCs w:val="16"/>
                <w:color w:val="auto"/>
              </w:rPr>
              <w:t>10%</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r>
      <w:tr>
        <w:trPr>
          <w:trHeight w:val="297"/>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70"/>
        </w:trPr>
        <w:tc>
          <w:tcPr>
            <w:tcW w:w="2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5,007</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4,839</w:t>
            </w:r>
          </w:p>
        </w:tc>
        <w:tc>
          <w:tcPr>
            <w:tcW w:w="980" w:type="dxa"/>
            <w:vAlign w:val="bottom"/>
            <w:tcBorders>
              <w:bottom w:val="single" w:sz="8" w:color="E4E4E4"/>
            </w:tcBorders>
            <w:gridSpan w:val="2"/>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3%</w:t>
            </w:r>
          </w:p>
        </w:tc>
        <w:tc>
          <w:tcPr>
            <w:tcW w:w="118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Borders>
              <w:bottom w:val="single" w:sz="8" w:color="E4E4E4"/>
            </w:tcBorders>
            <w:shd w:val="clear" w:color="auto" w:fill="E4E4E4"/>
          </w:tcPr>
          <w:p>
            <w:pPr>
              <w:spacing w:after="0"/>
              <w:rPr>
                <w:sz w:val="23"/>
                <w:szCs w:val="23"/>
                <w:color w:val="auto"/>
              </w:rPr>
            </w:pP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9,784</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4E4E4"/>
            </w:tcBorders>
            <w:shd w:val="clear" w:color="auto" w:fill="E4E4E4"/>
          </w:tcPr>
          <w:p>
            <w:pPr>
              <w:spacing w:after="0"/>
              <w:rPr>
                <w:sz w:val="23"/>
                <w:szCs w:val="23"/>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9,489</w:t>
            </w:r>
          </w:p>
        </w:tc>
        <w:tc>
          <w:tcPr>
            <w:tcW w:w="600" w:type="dxa"/>
            <w:vAlign w:val="bottom"/>
            <w:tcBorders>
              <w:bottom w:val="single" w:sz="8" w:color="E4E4E4"/>
            </w:tcBorders>
            <w:shd w:val="clear" w:color="auto" w:fill="E4E4E4"/>
          </w:tcPr>
          <w:p>
            <w:pPr>
              <w:spacing w:after="0"/>
              <w:rPr>
                <w:sz w:val="23"/>
                <w:szCs w:val="23"/>
                <w:color w:val="auto"/>
              </w:rPr>
            </w:pPr>
          </w:p>
        </w:tc>
        <w:tc>
          <w:tcPr>
            <w:tcW w:w="3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94"/>
              </w:rPr>
              <w:t>3%</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r>
      <w:tr>
        <w:trPr>
          <w:trHeight w:val="20"/>
        </w:trPr>
        <w:tc>
          <w:tcPr>
            <w:tcW w:w="2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280" w:hanging="252"/>
        <w:spacing w:after="0" w:line="304" w:lineRule="auto"/>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HealthCare Financial Services which does not meet the definition of an operating segment.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Revenues by Region</w:t>
            </w:r>
          </w:p>
        </w:tc>
        <w:tc>
          <w:tcPr>
            <w:tcW w:w="220" w:type="dxa"/>
            <w:vAlign w:val="bottom"/>
          </w:tcPr>
          <w:p>
            <w:pPr>
              <w:spacing w:after="0"/>
              <w:rPr>
                <w:sz w:val="21"/>
                <w:szCs w:val="21"/>
                <w:color w:val="auto"/>
              </w:rPr>
            </w:pPr>
          </w:p>
        </w:tc>
        <w:tc>
          <w:tcPr>
            <w:tcW w:w="3300" w:type="dxa"/>
            <w:vAlign w:val="bottom"/>
            <w:gridSpan w:val="5"/>
          </w:tcPr>
          <w:p>
            <w:pPr>
              <w:ind w:left="100"/>
              <w:spacing w:after="0"/>
              <w:rPr>
                <w:sz w:val="20"/>
                <w:szCs w:val="20"/>
                <w:color w:val="auto"/>
              </w:rPr>
            </w:pPr>
            <w:r>
              <w:rPr>
                <w:rFonts w:ascii="Arial" w:cs="Arial" w:eastAsia="Arial" w:hAnsi="Arial"/>
                <w:sz w:val="16"/>
                <w:szCs w:val="16"/>
                <w:b w:val="1"/>
                <w:bCs w:val="1"/>
                <w:color w:val="454545"/>
              </w:rPr>
              <w:t>For the three months ended June 30</w:t>
            </w:r>
          </w:p>
        </w:tc>
        <w:tc>
          <w:tcPr>
            <w:tcW w:w="260" w:type="dxa"/>
            <w:vAlign w:val="bottom"/>
          </w:tcPr>
          <w:p>
            <w:pPr>
              <w:spacing w:after="0"/>
              <w:rPr>
                <w:sz w:val="21"/>
                <w:szCs w:val="21"/>
                <w:color w:val="auto"/>
              </w:rPr>
            </w:pPr>
          </w:p>
        </w:tc>
        <w:tc>
          <w:tcPr>
            <w:tcW w:w="32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426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r>
      <w:tr>
        <w:trPr>
          <w:trHeight w:val="229"/>
        </w:trPr>
        <w:tc>
          <w:tcPr>
            <w:tcW w:w="4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280" w:type="dxa"/>
            <w:vAlign w:val="bottom"/>
          </w:tcPr>
          <w:p>
            <w:pPr>
              <w:spacing w:after="0"/>
              <w:rPr>
                <w:sz w:val="19"/>
                <w:szCs w:val="19"/>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2024</w:t>
            </w: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454545"/>
              </w:rPr>
              <w:t>% change</w:t>
            </w:r>
          </w:p>
        </w:tc>
        <w:tc>
          <w:tcPr>
            <w:tcW w:w="260" w:type="dxa"/>
            <w:vAlign w:val="bottom"/>
          </w:tcPr>
          <w:p>
            <w:pPr>
              <w:spacing w:after="0"/>
              <w:rPr>
                <w:sz w:val="19"/>
                <w:szCs w:val="19"/>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280" w:type="dxa"/>
            <w:vAlign w:val="bottom"/>
          </w:tcPr>
          <w:p>
            <w:pPr>
              <w:spacing w:after="0"/>
              <w:rPr>
                <w:sz w:val="19"/>
                <w:szCs w:val="19"/>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2024</w:t>
            </w: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426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r>
      <w:tr>
        <w:trPr>
          <w:trHeight w:val="257"/>
        </w:trPr>
        <w:tc>
          <w:tcPr>
            <w:tcW w:w="4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United States and Canada (“USCAN”)</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2,340</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2,243</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4,577</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4,336</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r>
      <w:tr>
        <w:trPr>
          <w:trHeight w:val="241"/>
        </w:trPr>
        <w:tc>
          <w:tcPr>
            <w:tcW w:w="4260" w:type="dxa"/>
            <w:vAlign w:val="bottom"/>
          </w:tcPr>
          <w:p>
            <w:pPr>
              <w:ind w:left="20"/>
              <w:spacing w:after="0"/>
              <w:rPr>
                <w:sz w:val="20"/>
                <w:szCs w:val="20"/>
                <w:color w:val="auto"/>
              </w:rPr>
            </w:pPr>
            <w:r>
              <w:rPr>
                <w:rFonts w:ascii="Arial" w:cs="Arial" w:eastAsia="Arial" w:hAnsi="Arial"/>
                <w:sz w:val="16"/>
                <w:szCs w:val="16"/>
                <w:color w:val="auto"/>
              </w:rPr>
              <w:t>Europe, the Middle East, and Africa (“EMEA”)</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1,268</w:t>
            </w:r>
          </w:p>
        </w:tc>
        <w:tc>
          <w:tcPr>
            <w:tcW w:w="28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1,206</w:t>
            </w: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2,442</w:t>
            </w:r>
          </w:p>
        </w:tc>
        <w:tc>
          <w:tcPr>
            <w:tcW w:w="2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2,380</w:t>
            </w: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3"/>
        </w:trPr>
        <w:tc>
          <w:tcPr>
            <w:tcW w:w="4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4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China region</w:t>
            </w:r>
          </w:p>
        </w:tc>
        <w:tc>
          <w:tcPr>
            <w:tcW w:w="22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563</w:t>
            </w:r>
          </w:p>
        </w:tc>
        <w:tc>
          <w:tcPr>
            <w:tcW w:w="28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583</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1,156</w:t>
            </w: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1,180</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41"/>
        </w:trPr>
        <w:tc>
          <w:tcPr>
            <w:tcW w:w="4260" w:type="dxa"/>
            <w:vAlign w:val="bottom"/>
          </w:tcPr>
          <w:p>
            <w:pPr>
              <w:ind w:left="20"/>
              <w:spacing w:after="0"/>
              <w:rPr>
                <w:sz w:val="20"/>
                <w:szCs w:val="20"/>
                <w:color w:val="auto"/>
              </w:rPr>
            </w:pPr>
            <w:r>
              <w:rPr>
                <w:rFonts w:ascii="Arial" w:cs="Arial" w:eastAsia="Arial" w:hAnsi="Arial"/>
                <w:sz w:val="16"/>
                <w:szCs w:val="16"/>
                <w:color w:val="auto"/>
              </w:rPr>
              <w:t>Rest of World</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836</w:t>
            </w:r>
          </w:p>
        </w:tc>
        <w:tc>
          <w:tcPr>
            <w:tcW w:w="28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807</w:t>
            </w: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1,609</w:t>
            </w:r>
          </w:p>
        </w:tc>
        <w:tc>
          <w:tcPr>
            <w:tcW w:w="2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1,592</w:t>
            </w: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42"/>
        </w:trPr>
        <w:tc>
          <w:tcPr>
            <w:tcW w:w="4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7"/>
        </w:trPr>
        <w:tc>
          <w:tcPr>
            <w:tcW w:w="4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5,007</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4,839</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9,784</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9,489</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r>
      <w:tr>
        <w:trPr>
          <w:trHeight w:val="20"/>
        </w:trPr>
        <w:tc>
          <w:tcPr>
            <w:tcW w:w="4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 xml:space="preserve">For the </w:t>
      </w:r>
      <w:r>
        <w:rPr>
          <w:rFonts w:ascii="Arial" w:cs="Arial" w:eastAsia="Arial" w:hAnsi="Arial"/>
          <w:sz w:val="16"/>
          <w:szCs w:val="16"/>
          <w:i w:val="1"/>
          <w:iCs w:val="1"/>
          <w:color w:val="000000"/>
        </w:rPr>
        <w:t>three months ended</w:t>
      </w:r>
      <w:r>
        <w:rPr>
          <w:rFonts w:ascii="Arial" w:cs="Arial" w:eastAsia="Arial" w:hAnsi="Arial"/>
          <w:sz w:val="16"/>
          <w:szCs w:val="16"/>
          <w:i w:val="1"/>
          <w:iCs w:val="1"/>
          <w:color w:val="231F20"/>
        </w:rPr>
        <w:t xml:space="preserve"> June 30, 2025</w:t>
      </w:r>
    </w:p>
    <w:p>
      <w:pPr>
        <w:spacing w:after="0" w:line="17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Total revenues were $5,007 million, growing 3% as reported and 2% organically*. The reported growth was largely driven by Sales of services increasing 7% or $111 million primarily driven by growth in new and existing customer contractual agreements.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48" w:lineRule="exact"/>
        <w:rPr>
          <w:sz w:val="20"/>
          <w:szCs w:val="20"/>
          <w:color w:val="auto"/>
        </w:rPr>
      </w:pPr>
    </w:p>
    <w:p>
      <w:pPr>
        <w:ind w:left="660" w:right="640" w:hanging="328"/>
        <w:spacing w:after="0" w:line="304"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Imaging segment revenues were $2,204 million, growing 2% or $33 million, with growth in the EMEA and USCAN regions, largely offset by continued pressure in the China market;</w:t>
      </w:r>
    </w:p>
    <w:p>
      <w:pPr>
        <w:spacing w:after="0" w:line="19" w:lineRule="exact"/>
        <w:rPr>
          <w:rFonts w:ascii="Arial" w:cs="Arial" w:eastAsia="Arial" w:hAnsi="Arial"/>
          <w:sz w:val="16"/>
          <w:szCs w:val="16"/>
          <w:color w:val="231F20"/>
        </w:rPr>
      </w:pPr>
    </w:p>
    <w:p>
      <w:pPr>
        <w:ind w:left="640" w:hanging="308"/>
        <w:spacing w:after="0"/>
        <w:tabs>
          <w:tab w:leader="none" w:pos="640"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AVS segment revenues were $1,289 million, growing 3% or $41 million, driven by continued strength in the U.S. market;</w:t>
      </w:r>
    </w:p>
    <w:p>
      <w:pPr>
        <w:spacing w:after="0" w:line="99" w:lineRule="exact"/>
        <w:rPr>
          <w:rFonts w:ascii="Arial" w:cs="Arial" w:eastAsia="Arial" w:hAnsi="Arial"/>
          <w:sz w:val="16"/>
          <w:szCs w:val="16"/>
          <w:color w:val="231F20"/>
        </w:rPr>
      </w:pPr>
    </w:p>
    <w:p>
      <w:pPr>
        <w:ind w:left="660" w:right="80" w:hanging="328"/>
        <w:spacing w:after="0" w:line="286"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PCS segment revenues were $778 million, growing 1% or $6 million, driven by growth in Monitoring Solutions, largely offset by a challenging year-over-year comparison in Life Support Solutions; and</w:t>
      </w:r>
    </w:p>
    <w:p>
      <w:pPr>
        <w:spacing w:after="0" w:line="34" w:lineRule="exact"/>
        <w:rPr>
          <w:rFonts w:ascii="Arial" w:cs="Arial" w:eastAsia="Arial" w:hAnsi="Arial"/>
          <w:sz w:val="16"/>
          <w:szCs w:val="16"/>
          <w:color w:val="231F20"/>
        </w:rPr>
      </w:pPr>
    </w:p>
    <w:p>
      <w:pPr>
        <w:ind w:left="660" w:right="520" w:hanging="328"/>
        <w:spacing w:after="0" w:line="304"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PDx segment revenues were $729 million, growing 14% or $90 million as reported, driven by the acquisition of Nihon Medi-Physics Co., Ltd. (“NMP”) and an increase in Organic revenue*. Organic revenue* grew 5% driven by continued growth in price and volume.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62" w:lineRule="exact"/>
        <w:rPr>
          <w:sz w:val="20"/>
          <w:szCs w:val="20"/>
          <w:color w:val="auto"/>
        </w:rPr>
      </w:pPr>
    </w:p>
    <w:p>
      <w:pPr>
        <w:ind w:left="660" w:right="180" w:hanging="328"/>
        <w:spacing w:after="0" w:line="286" w:lineRule="auto"/>
        <w:tabs>
          <w:tab w:leader="none" w:pos="649"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USCAN revenues were $2,340 million, growing 4% or $97 million with growth across all segment revenues, led by strong growth in AVS and PDx revenues;</w:t>
      </w:r>
    </w:p>
    <w:p>
      <w:pPr>
        <w:spacing w:after="0" w:line="34" w:lineRule="exact"/>
        <w:rPr>
          <w:rFonts w:ascii="Arial" w:cs="Arial" w:eastAsia="Arial" w:hAnsi="Arial"/>
          <w:sz w:val="16"/>
          <w:szCs w:val="16"/>
          <w:color w:val="231F20"/>
        </w:rPr>
      </w:pPr>
    </w:p>
    <w:p>
      <w:pPr>
        <w:ind w:left="640" w:hanging="308"/>
        <w:spacing w:after="0"/>
        <w:tabs>
          <w:tab w:leader="none" w:pos="640"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EMEA revenues were $1,268 million, growing 5% or $61 million, with growth in Imaging revenues as well as favorable foreign currency impacts;</w:t>
      </w:r>
    </w:p>
    <w:p>
      <w:pPr>
        <w:spacing w:after="0" w:line="99" w:lineRule="exact"/>
        <w:rPr>
          <w:rFonts w:ascii="Arial" w:cs="Arial" w:eastAsia="Arial" w:hAnsi="Arial"/>
          <w:sz w:val="16"/>
          <w:szCs w:val="16"/>
          <w:color w:val="231F20"/>
        </w:rPr>
      </w:pPr>
    </w:p>
    <w:p>
      <w:pPr>
        <w:ind w:left="660" w:right="240" w:hanging="328"/>
        <w:spacing w:after="0" w:line="304" w:lineRule="auto"/>
        <w:tabs>
          <w:tab w:leader="none" w:pos="649"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China region revenues were $563 million, decreasing 3% or $20 million due to a decrease in Imaging revenues, partially offset by growth in PDx and AVS revenues; and</w:t>
      </w:r>
    </w:p>
    <w:p>
      <w:pPr>
        <w:spacing w:after="0" w:line="19" w:lineRule="exact"/>
        <w:rPr>
          <w:rFonts w:ascii="Arial" w:cs="Arial" w:eastAsia="Arial" w:hAnsi="Arial"/>
          <w:sz w:val="16"/>
          <w:szCs w:val="16"/>
          <w:color w:val="231F20"/>
        </w:rPr>
      </w:pPr>
    </w:p>
    <w:p>
      <w:pPr>
        <w:ind w:left="660" w:right="40" w:hanging="328"/>
        <w:spacing w:after="0" w:line="304" w:lineRule="auto"/>
        <w:tabs>
          <w:tab w:leader="none" w:pos="649"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Rest of World revenues were $836 million, growing 4% or $29 million due to growth in PDx revenues, inclusive of NMP revenues, partially offset by declines in Imaging revenues.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six months ended June 30, 2025</w:t>
      </w:r>
    </w:p>
    <w:p>
      <w:pPr>
        <w:spacing w:after="0" w:line="165"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Total revenues were $9,784 million</w:t>
      </w:r>
      <w:r>
        <w:rPr>
          <w:rFonts w:ascii="Arial" w:cs="Arial" w:eastAsia="Arial" w:hAnsi="Arial"/>
          <w:sz w:val="16"/>
          <w:szCs w:val="16"/>
          <w:color w:val="231F20"/>
        </w:rPr>
        <w:t>,</w:t>
      </w:r>
      <w:r>
        <w:rPr>
          <w:rFonts w:ascii="Arial" w:cs="Arial" w:eastAsia="Arial" w:hAnsi="Arial"/>
          <w:sz w:val="16"/>
          <w:szCs w:val="16"/>
          <w:color w:val="auto"/>
        </w:rPr>
        <w:t xml:space="preserve"> growing 3% or $295 million</w:t>
      </w:r>
      <w:r>
        <w:rPr>
          <w:rFonts w:ascii="Arial" w:cs="Arial" w:eastAsia="Arial" w:hAnsi="Arial"/>
          <w:sz w:val="16"/>
          <w:szCs w:val="16"/>
          <w:color w:val="231F20"/>
        </w:rPr>
        <w:t>. The reported growth was largely due to Sales of services increasing</w:t>
      </w:r>
      <w:r>
        <w:rPr>
          <w:rFonts w:ascii="Arial" w:cs="Arial" w:eastAsia="Arial" w:hAnsi="Arial"/>
          <w:sz w:val="16"/>
          <w:szCs w:val="16"/>
          <w:color w:val="auto"/>
        </w:rPr>
        <w:t xml:space="preserve"> 5% </w:t>
      </w:r>
      <w:r>
        <w:rPr>
          <w:rFonts w:ascii="Arial" w:cs="Arial" w:eastAsia="Arial" w:hAnsi="Arial"/>
          <w:sz w:val="16"/>
          <w:szCs w:val="16"/>
          <w:color w:val="231F20"/>
        </w:rPr>
        <w:t>or $</w:t>
      </w:r>
      <w:r>
        <w:rPr>
          <w:rFonts w:ascii="Arial" w:cs="Arial" w:eastAsia="Arial" w:hAnsi="Arial"/>
          <w:sz w:val="16"/>
          <w:szCs w:val="16"/>
          <w:color w:val="auto"/>
        </w:rPr>
        <w:t xml:space="preserve">167 </w:t>
      </w:r>
      <w:r>
        <w:rPr>
          <w:rFonts w:ascii="Arial" w:cs="Arial" w:eastAsia="Arial" w:hAnsi="Arial"/>
          <w:sz w:val="16"/>
          <w:szCs w:val="16"/>
          <w:color w:val="231F20"/>
        </w:rPr>
        <w:t>million</w:t>
      </w:r>
      <w:r>
        <w:rPr>
          <w:rFonts w:ascii="Arial" w:cs="Arial" w:eastAsia="Arial" w:hAnsi="Arial"/>
          <w:sz w:val="16"/>
          <w:szCs w:val="16"/>
          <w:color w:val="auto"/>
        </w:rPr>
        <w:t xml:space="preserve"> </w:t>
      </w:r>
      <w:r>
        <w:rPr>
          <w:rFonts w:ascii="Arial" w:cs="Arial" w:eastAsia="Arial" w:hAnsi="Arial"/>
          <w:sz w:val="16"/>
          <w:szCs w:val="16"/>
          <w:color w:val="231F20"/>
        </w:rPr>
        <w:t xml:space="preserve">primarily driven by </w:t>
      </w:r>
      <w:r>
        <w:rPr>
          <w:rFonts w:ascii="Arial" w:cs="Arial" w:eastAsia="Arial" w:hAnsi="Arial"/>
          <w:sz w:val="16"/>
          <w:szCs w:val="16"/>
          <w:color w:val="000000"/>
        </w:rPr>
        <w:t>growth in new and existing customer contractual agreements</w:t>
      </w:r>
      <w:r>
        <w:rPr>
          <w:rFonts w:ascii="Arial" w:cs="Arial" w:eastAsia="Arial" w:hAnsi="Arial"/>
          <w:sz w:val="16"/>
          <w:szCs w:val="16"/>
          <w:color w:val="231F20"/>
        </w:rPr>
        <w: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62" w:lineRule="exact"/>
        <w:rPr>
          <w:sz w:val="20"/>
          <w:szCs w:val="20"/>
          <w:color w:val="auto"/>
        </w:rPr>
      </w:pPr>
    </w:p>
    <w:p>
      <w:pPr>
        <w:ind w:left="660" w:right="560" w:hanging="328"/>
        <w:spacing w:after="0" w:line="286" w:lineRule="auto"/>
        <w:tabs>
          <w:tab w:leader="none" w:pos="649" w:val="left"/>
        </w:tabs>
        <w:numPr>
          <w:ilvl w:val="0"/>
          <w:numId w:val="24"/>
        </w:numPr>
        <w:rPr>
          <w:rFonts w:ascii="Arial" w:cs="Arial" w:eastAsia="Arial" w:hAnsi="Arial"/>
          <w:sz w:val="16"/>
          <w:szCs w:val="16"/>
          <w:color w:val="231F20"/>
        </w:rPr>
      </w:pPr>
      <w:r>
        <w:rPr>
          <w:rFonts w:ascii="Arial" w:cs="Arial" w:eastAsia="Arial" w:hAnsi="Arial"/>
          <w:sz w:val="16"/>
          <w:szCs w:val="16"/>
          <w:color w:val="auto"/>
        </w:rPr>
        <w:t>Imaging segment revenues were $4,344 million, growing 3% or $111 million, with growth in the USCAN and EMEA regions led by Molecular Imaging and Computed Tomography (“MI/CT”) and Magnetic Resonance (“MR”) product lines;</w:t>
      </w:r>
    </w:p>
    <w:p>
      <w:pPr>
        <w:spacing w:after="0" w:line="34" w:lineRule="exact"/>
        <w:rPr>
          <w:rFonts w:ascii="Arial" w:cs="Arial" w:eastAsia="Arial" w:hAnsi="Arial"/>
          <w:sz w:val="16"/>
          <w:szCs w:val="16"/>
          <w:color w:val="231F20"/>
        </w:rPr>
      </w:pPr>
    </w:p>
    <w:p>
      <w:pPr>
        <w:ind w:left="660" w:hanging="328"/>
        <w:spacing w:after="0" w:line="286" w:lineRule="auto"/>
        <w:tabs>
          <w:tab w:leader="none" w:pos="649" w:val="left"/>
        </w:tabs>
        <w:numPr>
          <w:ilvl w:val="0"/>
          <w:numId w:val="24"/>
        </w:numPr>
        <w:rPr>
          <w:rFonts w:ascii="Arial" w:cs="Arial" w:eastAsia="Arial" w:hAnsi="Arial"/>
          <w:sz w:val="16"/>
          <w:szCs w:val="16"/>
          <w:color w:val="231F20"/>
        </w:rPr>
      </w:pPr>
      <w:r>
        <w:rPr>
          <w:rFonts w:ascii="Arial" w:cs="Arial" w:eastAsia="Arial" w:hAnsi="Arial"/>
          <w:sz w:val="16"/>
          <w:szCs w:val="16"/>
          <w:color w:val="auto"/>
        </w:rPr>
        <w:t>AVS segment revenues were $2,529 million, growing 2% or $53 million with strength in the U.S. market, partially offset by continued pressure in the China market;</w:t>
      </w:r>
    </w:p>
    <w:p>
      <w:pPr>
        <w:spacing w:after="0" w:line="47" w:lineRule="exact"/>
        <w:rPr>
          <w:rFonts w:ascii="Arial" w:cs="Arial" w:eastAsia="Arial" w:hAnsi="Arial"/>
          <w:sz w:val="16"/>
          <w:szCs w:val="16"/>
          <w:color w:val="231F20"/>
        </w:rPr>
      </w:pPr>
    </w:p>
    <w:p>
      <w:pPr>
        <w:ind w:left="660" w:right="280" w:hanging="328"/>
        <w:spacing w:after="0" w:line="286" w:lineRule="auto"/>
        <w:tabs>
          <w:tab w:leader="none" w:pos="649" w:val="left"/>
        </w:tabs>
        <w:numPr>
          <w:ilvl w:val="0"/>
          <w:numId w:val="24"/>
        </w:numPr>
        <w:rPr>
          <w:rFonts w:ascii="Arial" w:cs="Arial" w:eastAsia="Arial" w:hAnsi="Arial"/>
          <w:sz w:val="16"/>
          <w:szCs w:val="16"/>
          <w:color w:val="231F20"/>
        </w:rPr>
      </w:pPr>
      <w:r>
        <w:rPr>
          <w:rFonts w:ascii="Arial" w:cs="Arial" w:eastAsia="Arial" w:hAnsi="Arial"/>
          <w:sz w:val="16"/>
          <w:szCs w:val="16"/>
          <w:color w:val="auto"/>
        </w:rPr>
        <w:t>PCS segment revenues were $1,531 million, growing 1% or $12 million, driven by growth in Monitoring Solutions, largely offset by a challenging year-over-year comparison in Life Support Solutions; and</w:t>
      </w:r>
    </w:p>
    <w:p>
      <w:pPr>
        <w:spacing w:after="0" w:line="34" w:lineRule="exact"/>
        <w:rPr>
          <w:rFonts w:ascii="Arial" w:cs="Arial" w:eastAsia="Arial" w:hAnsi="Arial"/>
          <w:sz w:val="16"/>
          <w:szCs w:val="16"/>
          <w:color w:val="231F20"/>
        </w:rPr>
      </w:pPr>
    </w:p>
    <w:p>
      <w:pPr>
        <w:ind w:left="660" w:right="40" w:hanging="328"/>
        <w:spacing w:after="0" w:line="286" w:lineRule="auto"/>
        <w:tabs>
          <w:tab w:leader="none" w:pos="649" w:val="left"/>
        </w:tabs>
        <w:numPr>
          <w:ilvl w:val="0"/>
          <w:numId w:val="24"/>
        </w:numPr>
        <w:rPr>
          <w:rFonts w:ascii="Arial" w:cs="Arial" w:eastAsia="Arial" w:hAnsi="Arial"/>
          <w:sz w:val="16"/>
          <w:szCs w:val="16"/>
          <w:color w:val="231F20"/>
        </w:rPr>
      </w:pPr>
      <w:r>
        <w:rPr>
          <w:rFonts w:ascii="Arial" w:cs="Arial" w:eastAsia="Arial" w:hAnsi="Arial"/>
          <w:sz w:val="16"/>
          <w:szCs w:val="16"/>
          <w:color w:val="auto"/>
        </w:rPr>
        <w:t>PDx segment revenues were $1,362 million, growing 10% or $124 million as reported, driven by the acquisition of NMP and an increase in Organic revenue*. Organic revenue* grew 6% driven by continued growth in price and volume.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48"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color w:val="231F20"/>
        </w:rPr>
      </w:pPr>
      <w:r>
        <w:rPr>
          <w:rFonts w:ascii="Arial" w:cs="Arial" w:eastAsia="Arial" w:hAnsi="Arial"/>
          <w:sz w:val="16"/>
          <w:szCs w:val="16"/>
          <w:color w:val="auto"/>
        </w:rPr>
        <w:t>USCAN revenues were $4,577 million, growing 6% or $240 million with growth across all segment revenues;</w:t>
      </w:r>
    </w:p>
    <w:p>
      <w:pPr>
        <w:spacing w:after="0" w:line="99" w:lineRule="exact"/>
        <w:rPr>
          <w:rFonts w:ascii="Arial" w:cs="Arial" w:eastAsia="Arial" w:hAnsi="Arial"/>
          <w:sz w:val="16"/>
          <w:szCs w:val="16"/>
          <w:color w:val="231F20"/>
        </w:rPr>
      </w:pPr>
    </w:p>
    <w:p>
      <w:pPr>
        <w:ind w:left="640" w:hanging="308"/>
        <w:spacing w:after="0"/>
        <w:tabs>
          <w:tab w:leader="none" w:pos="640" w:val="left"/>
        </w:tabs>
        <w:numPr>
          <w:ilvl w:val="0"/>
          <w:numId w:val="25"/>
        </w:numPr>
        <w:rPr>
          <w:rFonts w:ascii="Arial" w:cs="Arial" w:eastAsia="Arial" w:hAnsi="Arial"/>
          <w:sz w:val="16"/>
          <w:szCs w:val="16"/>
          <w:color w:val="231F20"/>
        </w:rPr>
      </w:pPr>
      <w:r>
        <w:rPr>
          <w:rFonts w:ascii="Arial" w:cs="Arial" w:eastAsia="Arial" w:hAnsi="Arial"/>
          <w:sz w:val="16"/>
          <w:szCs w:val="16"/>
          <w:color w:val="auto"/>
        </w:rPr>
        <w:t>EMEA revenues were $2,442 million, growing 3% or $62 million largely due to growth in Imaging revenues;</w:t>
      </w:r>
    </w:p>
    <w:p>
      <w:pPr>
        <w:spacing w:after="0" w:line="99" w:lineRule="exact"/>
        <w:rPr>
          <w:rFonts w:ascii="Arial" w:cs="Arial" w:eastAsia="Arial" w:hAnsi="Arial"/>
          <w:sz w:val="16"/>
          <w:szCs w:val="16"/>
          <w:color w:val="231F20"/>
        </w:rPr>
      </w:pPr>
    </w:p>
    <w:p>
      <w:pPr>
        <w:ind w:left="660" w:right="200" w:hanging="328"/>
        <w:spacing w:after="0" w:line="304" w:lineRule="auto"/>
        <w:tabs>
          <w:tab w:leader="none" w:pos="649" w:val="left"/>
        </w:tabs>
        <w:numPr>
          <w:ilvl w:val="0"/>
          <w:numId w:val="25"/>
        </w:numPr>
        <w:rPr>
          <w:rFonts w:ascii="Arial" w:cs="Arial" w:eastAsia="Arial" w:hAnsi="Arial"/>
          <w:sz w:val="16"/>
          <w:szCs w:val="16"/>
          <w:color w:val="231F20"/>
        </w:rPr>
      </w:pPr>
      <w:r>
        <w:rPr>
          <w:rFonts w:ascii="Arial" w:cs="Arial" w:eastAsia="Arial" w:hAnsi="Arial"/>
          <w:sz w:val="16"/>
          <w:szCs w:val="16"/>
          <w:color w:val="auto"/>
        </w:rPr>
        <w:t>China region revenues were $1,156 million, decreasing 2% or $24 million with declines in Imaging and AVS revenues partially offset by growth in PDx revenues; and</w:t>
      </w:r>
    </w:p>
    <w:p>
      <w:pPr>
        <w:spacing w:after="0" w:line="19" w:lineRule="exact"/>
        <w:rPr>
          <w:rFonts w:ascii="Arial" w:cs="Arial" w:eastAsia="Arial" w:hAnsi="Arial"/>
          <w:sz w:val="16"/>
          <w:szCs w:val="16"/>
          <w:color w:val="231F20"/>
        </w:rPr>
      </w:pPr>
    </w:p>
    <w:p>
      <w:pPr>
        <w:ind w:left="660" w:right="80" w:hanging="328"/>
        <w:spacing w:after="0" w:line="304"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Rest of World revenues were $1,609 million, growing 1% or $17 million with growth in PDx revenues, inclusive of NMP revenues, partially offset by unfavorable foreign currency impacts and declines in Imaging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INCOME, NET INCOME ATTRIBUTABLE TO GE HEALTHCARE, ADJUSTED EBIT*, AND ADJUSTED NET INCOME*.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40" w:type="dxa"/>
            <w:vAlign w:val="bottom"/>
            <w:gridSpan w:val="5"/>
          </w:tcPr>
          <w:p>
            <w:pPr>
              <w:jc w:val="right"/>
              <w:spacing w:after="0"/>
              <w:rPr>
                <w:sz w:val="20"/>
                <w:szCs w:val="20"/>
                <w:color w:val="auto"/>
              </w:rPr>
            </w:pPr>
            <w:r>
              <w:rPr>
                <w:rFonts w:ascii="Arial" w:cs="Arial" w:eastAsia="Arial" w:hAnsi="Arial"/>
                <w:sz w:val="16"/>
                <w:szCs w:val="16"/>
                <w:b w:val="1"/>
                <w:bCs w:val="1"/>
                <w:color w:val="454545"/>
              </w:rPr>
              <w:t>For the three months ended June 30</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40" w:type="dxa"/>
            <w:vAlign w:val="bottom"/>
            <w:gridSpan w:val="5"/>
          </w:tcPr>
          <w:p>
            <w:pPr>
              <w:jc w:val="right"/>
              <w:ind w:right="19"/>
              <w:spacing w:after="0"/>
              <w:rPr>
                <w:sz w:val="20"/>
                <w:szCs w:val="20"/>
                <w:color w:val="auto"/>
              </w:rPr>
            </w:pPr>
            <w:r>
              <w:rPr>
                <w:rFonts w:ascii="Arial" w:cs="Arial" w:eastAsia="Arial" w:hAnsi="Arial"/>
                <w:sz w:val="16"/>
                <w:szCs w:val="16"/>
                <w:b w:val="1"/>
                <w:bCs w:val="1"/>
                <w:color w:val="454545"/>
              </w:rPr>
              <w:t>For the six months ended June 30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6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454545"/>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454545"/>
              </w:rPr>
              <w:t>%</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2025</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200" w:type="dxa"/>
            <w:vAlign w:val="bottom"/>
          </w:tcPr>
          <w:p>
            <w:pPr>
              <w:spacing w:after="0"/>
              <w:rPr>
                <w:sz w:val="19"/>
                <w:szCs w:val="19"/>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454545"/>
              </w:rPr>
              <w:t>revenues</w:t>
            </w:r>
          </w:p>
        </w:tc>
        <w:tc>
          <w:tcPr>
            <w:tcW w:w="740" w:type="dxa"/>
            <w:vAlign w:val="bottom"/>
            <w:gridSpan w:val="2"/>
          </w:tcPr>
          <w:p>
            <w:pPr>
              <w:ind w:left="40"/>
              <w:spacing w:after="0"/>
              <w:rPr>
                <w:sz w:val="20"/>
                <w:szCs w:val="20"/>
                <w:color w:val="auto"/>
              </w:rPr>
            </w:pPr>
            <w:r>
              <w:rPr>
                <w:rFonts w:ascii="Arial" w:cs="Arial" w:eastAsia="Arial" w:hAnsi="Arial"/>
                <w:sz w:val="16"/>
                <w:szCs w:val="16"/>
                <w:b w:val="1"/>
                <w:bCs w:val="1"/>
                <w:color w:val="454545"/>
              </w:rPr>
              <w:t>change</w:t>
            </w:r>
          </w:p>
        </w:tc>
        <w:tc>
          <w:tcPr>
            <w:tcW w:w="18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2025</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20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454545"/>
              </w:rPr>
              <w:t>change</w:t>
            </w:r>
          </w:p>
        </w:tc>
        <w:tc>
          <w:tcPr>
            <w:tcW w:w="0" w:type="dxa"/>
            <w:vAlign w:val="bottom"/>
          </w:tcPr>
          <w:p>
            <w:pPr>
              <w:spacing w:after="0"/>
              <w:rPr>
                <w:sz w:val="1"/>
                <w:szCs w:val="1"/>
                <w:color w:val="auto"/>
              </w:rPr>
            </w:pPr>
          </w:p>
        </w:tc>
      </w:tr>
      <w:tr>
        <w:trPr>
          <w:trHeight w:val="21"/>
        </w:trPr>
        <w:tc>
          <w:tcPr>
            <w:tcW w:w="27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2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654</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608</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12.6%</w:t>
            </w: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1,283</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1,148</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Net income attributable to GE</w:t>
            </w:r>
          </w:p>
        </w:tc>
        <w:tc>
          <w:tcPr>
            <w:tcW w:w="1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486</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428</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8.9%</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1,049</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802</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07"/>
        </w:trPr>
        <w:tc>
          <w:tcPr>
            <w:tcW w:w="2780" w:type="dxa"/>
            <w:vAlign w:val="bottom"/>
            <w:vMerge w:val="restart"/>
          </w:tcPr>
          <w:p>
            <w:pPr>
              <w:ind w:left="26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Adjusted EBIT*</w:t>
            </w:r>
          </w:p>
        </w:tc>
        <w:tc>
          <w:tcPr>
            <w:tcW w:w="18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729</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14.6%</w:t>
            </w:r>
          </w:p>
        </w:tc>
        <w:tc>
          <w:tcPr>
            <w:tcW w:w="20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742</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15.3%</w:t>
            </w: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1,443</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14.8%</w:t>
            </w:r>
          </w:p>
        </w:tc>
        <w:tc>
          <w:tcPr>
            <w:tcW w:w="20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1,423</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4"/>
        </w:trPr>
        <w:tc>
          <w:tcPr>
            <w:tcW w:w="278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487</w:t>
            </w:r>
          </w:p>
        </w:tc>
        <w:tc>
          <w:tcPr>
            <w:tcW w:w="88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459</w:t>
            </w:r>
          </w:p>
        </w:tc>
        <w:tc>
          <w:tcPr>
            <w:tcW w:w="900" w:type="dxa"/>
            <w:vAlign w:val="bottom"/>
          </w:tcPr>
          <w:p>
            <w:pPr>
              <w:jc w:val="right"/>
              <w:spacing w:after="0"/>
              <w:rPr>
                <w:sz w:val="20"/>
                <w:szCs w:val="20"/>
                <w:color w:val="auto"/>
              </w:rPr>
            </w:pPr>
            <w:r>
              <w:rPr>
                <w:rFonts w:ascii="Arial" w:cs="Arial" w:eastAsia="Arial" w:hAnsi="Arial"/>
                <w:sz w:val="16"/>
                <w:szCs w:val="16"/>
                <w:color w:val="auto"/>
              </w:rPr>
              <w:t>9.5%</w:t>
            </w: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951</w:t>
            </w:r>
          </w:p>
        </w:tc>
        <w:tc>
          <w:tcPr>
            <w:tcW w:w="86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872</w:t>
            </w:r>
          </w:p>
        </w:tc>
        <w:tc>
          <w:tcPr>
            <w:tcW w:w="880" w:type="dxa"/>
            <w:vAlign w:val="bottom"/>
          </w:tcPr>
          <w:p>
            <w:pPr>
              <w:jc w:val="right"/>
              <w:spacing w:after="0"/>
              <w:rPr>
                <w:sz w:val="20"/>
                <w:szCs w:val="20"/>
                <w:color w:val="auto"/>
              </w:rPr>
            </w:pPr>
            <w:r>
              <w:rPr>
                <w:rFonts w:ascii="Arial" w:cs="Arial" w:eastAsia="Arial" w:hAnsi="Arial"/>
                <w:sz w:val="16"/>
                <w:szCs w:val="16"/>
                <w:color w:val="auto"/>
              </w:rPr>
              <w:t>9.2%</w:t>
            </w:r>
          </w:p>
        </w:tc>
        <w:tc>
          <w:tcPr>
            <w:tcW w:w="6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9"/>
        </w:trPr>
        <w:tc>
          <w:tcPr>
            <w:tcW w:w="2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 xml:space="preserve">For the </w:t>
      </w:r>
      <w:r>
        <w:rPr>
          <w:rFonts w:ascii="Arial" w:cs="Arial" w:eastAsia="Arial" w:hAnsi="Arial"/>
          <w:sz w:val="16"/>
          <w:szCs w:val="16"/>
          <w:i w:val="1"/>
          <w:iCs w:val="1"/>
          <w:color w:val="000000"/>
        </w:rPr>
        <w:t>three months ended</w:t>
      </w:r>
      <w:r>
        <w:rPr>
          <w:rFonts w:ascii="Arial" w:cs="Arial" w:eastAsia="Arial" w:hAnsi="Arial"/>
          <w:sz w:val="16"/>
          <w:szCs w:val="16"/>
          <w:i w:val="1"/>
          <w:iCs w:val="1"/>
          <w:color w:val="231F20"/>
        </w:rPr>
        <w:t xml:space="preserve"> June 30, 2025</w:t>
      </w:r>
    </w:p>
    <w:p>
      <w:pPr>
        <w:spacing w:after="0" w:line="260"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Operating income was $654 million, an increase of $46 million and 50 basis points as a percent of Total revenues. The increase was due to the following factors:</w:t>
      </w:r>
    </w:p>
    <w:p>
      <w:pPr>
        <w:spacing w:after="0" w:line="196" w:lineRule="exact"/>
        <w:rPr>
          <w:sz w:val="20"/>
          <w:szCs w:val="20"/>
          <w:color w:val="auto"/>
        </w:rPr>
      </w:pPr>
    </w:p>
    <w:p>
      <w:pPr>
        <w:ind w:left="660" w:right="60" w:hanging="328"/>
        <w:spacing w:after="0" w:line="257"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Gross profit decreased $17 million or 170 basis points as a percent of Total revenues primarily due to an increase in both Cost of products sold and Cost of services sold as a percent of Total revenues. Cost of products sold increased $114 million or 240 basis points as a percent of Sales of products. The increase as a percent of sales was driven primarily by cost inflation, including the impact of incremental tariffs, and investment in design follow-through, partially offset by cost productivity. Cost of services sold increased $71 million or 90 basis points as a percent of Sales of services. The increase as a percent of sales was driven by unfavorable mix within our service offerings and cost inflation, including the impact of incremental tariffs, partially offset by an increase in pricing of our service offerings. Included in our total cost of revenues as part of our product investment was $128 million in engineering costs for design follow-through on new product introductions and product lifecycle maintenance subsequent to the initial product launch, compared to $102 million for the prior year comparable period; and</w:t>
      </w:r>
    </w:p>
    <w:p>
      <w:pPr>
        <w:spacing w:after="0" w:line="57" w:lineRule="exact"/>
        <w:rPr>
          <w:rFonts w:ascii="Arial" w:cs="Arial" w:eastAsia="Arial" w:hAnsi="Arial"/>
          <w:sz w:val="16"/>
          <w:szCs w:val="16"/>
          <w:color w:val="auto"/>
        </w:rPr>
      </w:pPr>
    </w:p>
    <w:p>
      <w:pPr>
        <w:ind w:left="660" w:right="60" w:hanging="328"/>
        <w:spacing w:after="0" w:line="26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Total operating expenses decreased $63 million primarily due to a decrease in Research and Development (“R&amp;D”) of $26 million, driven by certain programs achieving development milestones resulting in costs to be reported under cost of revenues, and a decrease in Selling, general, and administrative (“SG&amp;A”) expense of $38 million, primarily driven by a decrease in Spin-Off and separation costs, partially offset by increased investment in our commercial teams. As a result, SG&amp;A as a percentage of Total revenues decreased by 150 basis points and R&amp;D as a percentage of Total revenues decreased by 70 basis points.</w:t>
      </w:r>
    </w:p>
    <w:p>
      <w:pPr>
        <w:spacing w:after="0" w:line="199"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Net income attributable to GE HealthCare and Net income margin were $486 million and 9.7%, an increase of $57 million and 80 basis points, respectively, primarily due to the following factors:</w:t>
      </w:r>
    </w:p>
    <w:p>
      <w:pPr>
        <w:spacing w:after="0" w:line="195"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i w:val="1"/>
          <w:iCs w:val="1"/>
          <w:color w:val="231F20"/>
        </w:rPr>
      </w:pPr>
      <w:r>
        <w:rPr>
          <w:rFonts w:ascii="Arial" w:cs="Arial" w:eastAsia="Arial" w:hAnsi="Arial"/>
          <w:sz w:val="16"/>
          <w:szCs w:val="16"/>
          <w:color w:val="auto"/>
        </w:rPr>
        <w:t>Operating income increased $46 million, as discussed above;</w:t>
      </w:r>
    </w:p>
    <w:p>
      <w:pPr>
        <w:spacing w:after="0" w:line="99" w:lineRule="exact"/>
        <w:rPr>
          <w:rFonts w:ascii="Arial" w:cs="Arial" w:eastAsia="Arial" w:hAnsi="Arial"/>
          <w:sz w:val="16"/>
          <w:szCs w:val="16"/>
          <w:i w:val="1"/>
          <w:iCs w:val="1"/>
          <w:color w:val="231F20"/>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Interest and other financial charges – net decreased $18 million primarily driven by repayments made on the Term Loan Facility;</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Non-operating benefit income decreased $28 million primarily due to lower expected returns on plan assets; and</w:t>
      </w:r>
    </w:p>
    <w:p>
      <w:pPr>
        <w:spacing w:after="0" w:line="99" w:lineRule="exact"/>
        <w:rPr>
          <w:rFonts w:ascii="Arial" w:cs="Arial" w:eastAsia="Arial" w:hAnsi="Arial"/>
          <w:sz w:val="16"/>
          <w:szCs w:val="16"/>
          <w:color w:val="auto"/>
        </w:rPr>
      </w:pPr>
    </w:p>
    <w:p>
      <w:pPr>
        <w:ind w:left="660" w:right="100" w:hanging="328"/>
        <w:spacing w:after="0" w:line="286"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Provision for income taxes decreased $30 million primarily due to the use of tax attributes from updating our global structure following the Spin-Off. For additional detail regarding our income taxes, see Note 10, “Income Taxes.”</w:t>
      </w:r>
    </w:p>
    <w:p>
      <w:pPr>
        <w:spacing w:after="0" w:line="277"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Adjusted EBIT* and Adjusted EBIT margin* were $729 million and 14.6%, a decrease of $13 million and 80 basis points, respectively, primarily due to a decrease in Gross profit, partially offset by a decrease in operating expenses.</w:t>
      </w:r>
    </w:p>
    <w:p>
      <w:pPr>
        <w:spacing w:after="0" w:line="168"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Adjusted net income* was $487 million, an increase of $28 million primarily due to lower Provision for income taxes and lower Interest and other financial charges – net, partially offset by a decrease in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six months ended June 30, 2025</w:t>
      </w:r>
    </w:p>
    <w:p>
      <w:pPr>
        <w:spacing w:after="0" w:line="26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Operating income was $1,283 million, an increase of $135 million and 100 basis points as a percent of Total revenues. The increase was due to the following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20" w:hanging="328"/>
        <w:spacing w:after="0" w:line="259" w:lineRule="auto"/>
        <w:tabs>
          <w:tab w:leader="none" w:pos="649" w:val="left"/>
        </w:tabs>
        <w:numPr>
          <w:ilvl w:val="0"/>
          <w:numId w:val="28"/>
        </w:numPr>
        <w:rPr>
          <w:rFonts w:ascii="Arial" w:cs="Arial" w:eastAsia="Arial" w:hAnsi="Arial"/>
          <w:sz w:val="16"/>
          <w:szCs w:val="16"/>
          <w:color w:val="231F20"/>
        </w:rPr>
      </w:pPr>
      <w:r>
        <w:rPr>
          <w:rFonts w:ascii="Arial" w:cs="Arial" w:eastAsia="Arial" w:hAnsi="Arial"/>
          <w:sz w:val="16"/>
          <w:szCs w:val="16"/>
          <w:color w:val="auto"/>
        </w:rPr>
        <w:t xml:space="preserve">Gross profit increased $93 million, but decreased 30 basis points as a percent of Total revenues primarily due to an increase in both Cost of products and Cost of services as a percent of Total revenues. Cost of products sold increased $110 million or 40 basis points as a percent of Sales of products. The increase as a percent of sales was driven by cost inflation, including the impact of incremental tariffs, partially offset by cost productivity. Cost of services sold increased $91 million or 30 basis points as a percent of Sales of services. The increase as a percent of sales was driven by unfavorable mix within our service offerings, and cost inflation, including the impact of incremental tariffs, partially offset by an increase in pricing of our service offerings. Included in our total cost of revenues as part of our product investment was $224 million in engineering costs for design follow-through on new product introductions and product lifecycle maintenance subsequent to the initial product launch, compared to $203 million for the </w:t>
      </w:r>
      <w:r>
        <w:rPr>
          <w:rFonts w:ascii="Arial" w:cs="Arial" w:eastAsia="Arial" w:hAnsi="Arial"/>
          <w:sz w:val="16"/>
          <w:szCs w:val="16"/>
          <w:color w:val="231F20"/>
        </w:rPr>
        <w:t>prior year comparable period</w:t>
      </w:r>
      <w:r>
        <w:rPr>
          <w:rFonts w:ascii="Arial" w:cs="Arial" w:eastAsia="Arial" w:hAnsi="Arial"/>
          <w:sz w:val="16"/>
          <w:szCs w:val="16"/>
          <w:color w:val="auto"/>
        </w:rPr>
        <w:t>; and</w:t>
      </w:r>
    </w:p>
    <w:p>
      <w:pPr>
        <w:spacing w:after="0" w:line="58" w:lineRule="exact"/>
        <w:rPr>
          <w:rFonts w:ascii="Arial" w:cs="Arial" w:eastAsia="Arial" w:hAnsi="Arial"/>
          <w:sz w:val="16"/>
          <w:szCs w:val="16"/>
          <w:color w:val="231F20"/>
        </w:rPr>
      </w:pPr>
    </w:p>
    <w:p>
      <w:pPr>
        <w:jc w:val="both"/>
        <w:ind w:left="660" w:right="80" w:hanging="328"/>
        <w:spacing w:after="0" w:line="27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Total operating expenses decreased $42 million, with a decrease in R&amp;D investments of $6 million and a decrease in SG&amp;A expense of $36 million primarily driven by a decrease in Spin-Off and separation costs, partially offset by increased investment in our commercial teams. As a result, R&amp;D as a percentage of Total revenues decreased by 30 basis points and SG&amp;A as a percentage of Total revenues decreased by 100 basis points.</w:t>
      </w:r>
    </w:p>
    <w:p>
      <w:pPr>
        <w:spacing w:after="0" w:line="191" w:lineRule="exact"/>
        <w:rPr>
          <w:sz w:val="20"/>
          <w:szCs w:val="20"/>
          <w:color w:val="auto"/>
        </w:rPr>
      </w:pPr>
    </w:p>
    <w:p>
      <w:pPr>
        <w:ind w:right="680"/>
        <w:spacing w:after="0" w:line="304" w:lineRule="auto"/>
        <w:rPr>
          <w:sz w:val="20"/>
          <w:szCs w:val="20"/>
          <w:color w:val="auto"/>
        </w:rPr>
      </w:pPr>
      <w:r>
        <w:rPr>
          <w:rFonts w:ascii="Arial" w:cs="Arial" w:eastAsia="Arial" w:hAnsi="Arial"/>
          <w:sz w:val="16"/>
          <w:szCs w:val="16"/>
          <w:color w:val="auto"/>
        </w:rPr>
        <w:t>Net income attributable to GE HealthCare and Net income margin were $1,049 million and 10.7%, an increase of $247 million and 230 basis points, respectively, primarily due to the following factors:</w:t>
      </w:r>
    </w:p>
    <w:p>
      <w:pPr>
        <w:spacing w:after="0" w:line="182"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Operating income increased $135 million, as discussed above;</w:t>
      </w:r>
    </w:p>
    <w:p>
      <w:pPr>
        <w:spacing w:after="0" w:line="99" w:lineRule="exact"/>
        <w:rPr>
          <w:rFonts w:ascii="Arial" w:cs="Arial" w:eastAsia="Arial" w:hAnsi="Arial"/>
          <w:sz w:val="16"/>
          <w:szCs w:val="16"/>
          <w:i w:val="1"/>
          <w:iCs w:val="1"/>
          <w:color w:val="231F20"/>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Interest and other financial charges – net decreased $30 million primarily driven by repayments made on the Term Loan Facility;</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Non-operating benefit income decreased $56 million primarily related to lower expected returns on plan assets;</w:t>
      </w:r>
    </w:p>
    <w:p>
      <w:pPr>
        <w:spacing w:after="0" w:line="99" w:lineRule="exact"/>
        <w:rPr>
          <w:rFonts w:ascii="Arial" w:cs="Arial" w:eastAsia="Arial" w:hAnsi="Arial"/>
          <w:sz w:val="16"/>
          <w:szCs w:val="16"/>
          <w:color w:val="auto"/>
        </w:rPr>
      </w:pPr>
    </w:p>
    <w:p>
      <w:pPr>
        <w:ind w:left="660" w:hanging="328"/>
        <w:spacing w:after="0" w:line="284"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income – net increased $106 million primarily driven by the remeasurement of the Company’s 50% interest in NMP based on the cash consideration exchanged for acquiring the remaining 50% equity interest. For additional detail on the NMP acquisition, refer to Note 7, “Acquisitions, Goodwill, and Other Intangible Assets”; and</w:t>
      </w:r>
    </w:p>
    <w:p>
      <w:pPr>
        <w:spacing w:after="0" w:line="48" w:lineRule="exact"/>
        <w:rPr>
          <w:rFonts w:ascii="Arial" w:cs="Arial" w:eastAsia="Arial" w:hAnsi="Arial"/>
          <w:sz w:val="16"/>
          <w:szCs w:val="16"/>
          <w:color w:val="auto"/>
        </w:rPr>
      </w:pPr>
    </w:p>
    <w:p>
      <w:pPr>
        <w:ind w:left="660" w:right="80" w:hanging="328"/>
        <w:spacing w:after="0" w:line="275"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Provision for income taxes decreased $51 million primarily due to the release of income tax reserves in a foreign jurisdiction for tax years which are no longer subject to an assessment from the local taxing authorities and the use of tax attributes from updating our global structure following the Spin-Off. For additional detail regarding our income taxes, see Note 10, “Income Taxes.”</w:t>
      </w:r>
    </w:p>
    <w:p>
      <w:pPr>
        <w:spacing w:after="0" w:line="191"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Adjusted EBIT* and Adjusted EBIT margin* were $1,443 million and 14.8%, an increase of $20 million, but a decrease of 20 basis points, respectively. The decrease of Adjusted EBIT margin* was primarily due to the decrease in Gross profit as a percent of Total revenues, as discussed above.</w:t>
      </w:r>
    </w:p>
    <w:p>
      <w:pPr>
        <w:spacing w:after="0" w:line="168"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Adjusted net income* was $951 million, an increase of $79 million primarily due to lower Provision for income taxes, the increase in operating income, excluding the impact of lower Spin-Off and separation costs, and lower Interest and other financial charges – net.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w:t>
      </w:r>
      <w:r>
        <w:rPr>
          <w:rFonts w:ascii="Arial" w:cs="Arial" w:eastAsia="Arial" w:hAnsi="Arial"/>
          <w:sz w:val="19"/>
          <w:szCs w:val="19"/>
          <w:color w:val="auto"/>
        </w:rPr>
        <w:t>–</w:t>
      </w:r>
      <w:r>
        <w:rPr>
          <w:rFonts w:ascii="Arial" w:cs="Arial" w:eastAsia="Arial" w:hAnsi="Arial"/>
          <w:sz w:val="18"/>
          <w:szCs w:val="18"/>
          <w:b w:val="1"/>
          <w:bCs w:val="1"/>
          <w:color w:val="auto"/>
        </w:rPr>
        <w:t xml:space="preserve"> SEGMENTS</w:t>
      </w:r>
    </w:p>
    <w:p>
      <w:pPr>
        <w:spacing w:after="0" w:line="27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exclude from Segment EBIT certain corporate-related expenses and certain transactions or adjustments that our Chief Operating Decision Maker (which is our Chief Executive Officer) considers to be non-operational, such as Interest and other financial charges – net, Benefit (provision) for income taxes, restructuring costs, acquisition and disposition-related benefits (charges), Spin-Off and separation costs, Non-operating benefit (income) costs, gain (loss) on business and asset dispositions, amortization of acquisition-related intangible assets, Net (income) loss attributable to noncontrolling interests, Income (loss) from discontinued operations, net of taxes, and investment revaluation gain (loss). See Note 3, “Segment Information” for additional information on our reportable segments, and “Results of Operations” above for discussion on segment revenue performance.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4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4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three months ended June 30</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six months ended June 30</w:t>
            </w:r>
          </w:p>
        </w:tc>
        <w:tc>
          <w:tcPr>
            <w:tcW w:w="840" w:type="dxa"/>
            <w:vAlign w:val="bottom"/>
          </w:tcPr>
          <w:p>
            <w:pPr>
              <w:spacing w:after="0"/>
              <w:rPr>
                <w:sz w:val="19"/>
                <w:szCs w:val="19"/>
                <w:color w:val="auto"/>
              </w:rPr>
            </w:pPr>
          </w:p>
        </w:tc>
      </w:tr>
      <w:tr>
        <w:trPr>
          <w:trHeight w:val="48"/>
        </w:trPr>
        <w:tc>
          <w:tcPr>
            <w:tcW w:w="2240" w:type="dxa"/>
            <w:vAlign w:val="bottom"/>
          </w:tcPr>
          <w:p>
            <w:pPr>
              <w:spacing w:after="0"/>
              <w:rPr>
                <w:sz w:val="4"/>
                <w:szCs w:val="4"/>
                <w:color w:val="auto"/>
              </w:rPr>
            </w:pPr>
          </w:p>
        </w:tc>
        <w:tc>
          <w:tcPr>
            <w:tcW w:w="160" w:type="dxa"/>
            <w:vAlign w:val="bottom"/>
            <w:tcBorders>
              <w:bottom w:val="single" w:sz="8" w:color="454545"/>
            </w:tcBorders>
          </w:tcPr>
          <w:p>
            <w:pPr>
              <w:spacing w:after="0"/>
              <w:rPr>
                <w:sz w:val="4"/>
                <w:szCs w:val="4"/>
                <w:color w:val="auto"/>
              </w:rPr>
            </w:pPr>
          </w:p>
        </w:tc>
        <w:tc>
          <w:tcPr>
            <w:tcW w:w="620" w:type="dxa"/>
            <w:vAlign w:val="bottom"/>
            <w:tcBorders>
              <w:bottom w:val="single" w:sz="8" w:color="454545"/>
            </w:tcBorders>
          </w:tcPr>
          <w:p>
            <w:pPr>
              <w:spacing w:after="0"/>
              <w:rPr>
                <w:sz w:val="4"/>
                <w:szCs w:val="4"/>
                <w:color w:val="auto"/>
              </w:rPr>
            </w:pPr>
          </w:p>
        </w:tc>
        <w:tc>
          <w:tcPr>
            <w:tcW w:w="1180" w:type="dxa"/>
            <w:vAlign w:val="bottom"/>
            <w:tcBorders>
              <w:bottom w:val="single" w:sz="8" w:color="454545"/>
            </w:tcBorders>
          </w:tcPr>
          <w:p>
            <w:pPr>
              <w:spacing w:after="0"/>
              <w:rPr>
                <w:sz w:val="4"/>
                <w:szCs w:val="4"/>
                <w:color w:val="auto"/>
              </w:rPr>
            </w:pPr>
          </w:p>
        </w:tc>
        <w:tc>
          <w:tcPr>
            <w:tcW w:w="660" w:type="dxa"/>
            <w:vAlign w:val="bottom"/>
            <w:tcBorders>
              <w:bottom w:val="single" w:sz="8" w:color="454545"/>
            </w:tcBorders>
          </w:tcPr>
          <w:p>
            <w:pPr>
              <w:spacing w:after="0"/>
              <w:rPr>
                <w:sz w:val="4"/>
                <w:szCs w:val="4"/>
                <w:color w:val="auto"/>
              </w:rPr>
            </w:pPr>
          </w:p>
        </w:tc>
        <w:tc>
          <w:tcPr>
            <w:tcW w:w="1000" w:type="dxa"/>
            <w:vAlign w:val="bottom"/>
            <w:tcBorders>
              <w:bottom w:val="single" w:sz="8" w:color="454545"/>
            </w:tcBorders>
          </w:tcPr>
          <w:p>
            <w:pPr>
              <w:spacing w:after="0"/>
              <w:rPr>
                <w:sz w:val="4"/>
                <w:szCs w:val="4"/>
                <w:color w:val="auto"/>
              </w:rPr>
            </w:pPr>
          </w:p>
        </w:tc>
        <w:tc>
          <w:tcPr>
            <w:tcW w:w="840" w:type="dxa"/>
            <w:vAlign w:val="bottom"/>
            <w:tcBorders>
              <w:bottom w:val="single" w:sz="8" w:color="454545"/>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454545"/>
            </w:tcBorders>
          </w:tcPr>
          <w:p>
            <w:pPr>
              <w:spacing w:after="0"/>
              <w:rPr>
                <w:sz w:val="4"/>
                <w:szCs w:val="4"/>
                <w:color w:val="auto"/>
              </w:rPr>
            </w:pPr>
          </w:p>
        </w:tc>
        <w:tc>
          <w:tcPr>
            <w:tcW w:w="660" w:type="dxa"/>
            <w:vAlign w:val="bottom"/>
            <w:tcBorders>
              <w:bottom w:val="single" w:sz="8" w:color="454545"/>
            </w:tcBorders>
          </w:tcPr>
          <w:p>
            <w:pPr>
              <w:spacing w:after="0"/>
              <w:rPr>
                <w:sz w:val="4"/>
                <w:szCs w:val="4"/>
                <w:color w:val="auto"/>
              </w:rPr>
            </w:pPr>
          </w:p>
        </w:tc>
        <w:tc>
          <w:tcPr>
            <w:tcW w:w="1140" w:type="dxa"/>
            <w:vAlign w:val="bottom"/>
            <w:tcBorders>
              <w:bottom w:val="single" w:sz="8" w:color="454545"/>
            </w:tcBorders>
          </w:tcPr>
          <w:p>
            <w:pPr>
              <w:spacing w:after="0"/>
              <w:rPr>
                <w:sz w:val="4"/>
                <w:szCs w:val="4"/>
                <w:color w:val="auto"/>
              </w:rPr>
            </w:pPr>
          </w:p>
        </w:tc>
        <w:tc>
          <w:tcPr>
            <w:tcW w:w="680" w:type="dxa"/>
            <w:vAlign w:val="bottom"/>
            <w:tcBorders>
              <w:bottom w:val="single" w:sz="8" w:color="454545"/>
            </w:tcBorders>
          </w:tcPr>
          <w:p>
            <w:pPr>
              <w:spacing w:after="0"/>
              <w:rPr>
                <w:sz w:val="4"/>
                <w:szCs w:val="4"/>
                <w:color w:val="auto"/>
              </w:rPr>
            </w:pPr>
          </w:p>
        </w:tc>
        <w:tc>
          <w:tcPr>
            <w:tcW w:w="980" w:type="dxa"/>
            <w:vAlign w:val="bottom"/>
            <w:tcBorders>
              <w:bottom w:val="single" w:sz="8" w:color="454545"/>
            </w:tcBorders>
          </w:tcPr>
          <w:p>
            <w:pPr>
              <w:spacing w:after="0"/>
              <w:rPr>
                <w:sz w:val="4"/>
                <w:szCs w:val="4"/>
                <w:color w:val="auto"/>
              </w:rPr>
            </w:pPr>
          </w:p>
        </w:tc>
        <w:tc>
          <w:tcPr>
            <w:tcW w:w="840" w:type="dxa"/>
            <w:vAlign w:val="bottom"/>
            <w:tcBorders>
              <w:bottom w:val="single" w:sz="8" w:color="454545"/>
            </w:tcBorders>
          </w:tcPr>
          <w:p>
            <w:pPr>
              <w:spacing w:after="0"/>
              <w:rPr>
                <w:sz w:val="4"/>
                <w:szCs w:val="4"/>
                <w:color w:val="auto"/>
              </w:rPr>
            </w:pPr>
          </w:p>
        </w:tc>
      </w:tr>
      <w:tr>
        <w:trPr>
          <w:trHeight w:val="209"/>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454545"/>
              </w:rPr>
              <w:t>% of</w:t>
            </w:r>
          </w:p>
        </w:tc>
        <w:tc>
          <w:tcPr>
            <w:tcW w:w="6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454545"/>
              </w:rPr>
              <w:t>% of</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 of</w:t>
            </w:r>
          </w:p>
        </w:tc>
        <w:tc>
          <w:tcPr>
            <w:tcW w:w="6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 of</w:t>
            </w:r>
          </w:p>
        </w:tc>
        <w:tc>
          <w:tcPr>
            <w:tcW w:w="840" w:type="dxa"/>
            <w:vAlign w:val="bottom"/>
          </w:tcPr>
          <w:p>
            <w:pPr>
              <w:spacing w:after="0"/>
              <w:rPr>
                <w:sz w:val="18"/>
                <w:szCs w:val="18"/>
                <w:color w:val="auto"/>
              </w:rPr>
            </w:pPr>
          </w:p>
        </w:tc>
      </w:tr>
      <w:tr>
        <w:trPr>
          <w:trHeight w:val="203"/>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454545"/>
              </w:rPr>
              <w:t>segment</w:t>
            </w:r>
          </w:p>
        </w:tc>
        <w:tc>
          <w:tcPr>
            <w:tcW w:w="6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454545"/>
              </w:rPr>
              <w:t>segment</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segment</w:t>
            </w:r>
          </w:p>
        </w:tc>
        <w:tc>
          <w:tcPr>
            <w:tcW w:w="6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segment</w:t>
            </w:r>
          </w:p>
        </w:tc>
        <w:tc>
          <w:tcPr>
            <w:tcW w:w="840" w:type="dxa"/>
            <w:vAlign w:val="bottom"/>
          </w:tcPr>
          <w:p>
            <w:pPr>
              <w:spacing w:after="0"/>
              <w:rPr>
                <w:sz w:val="17"/>
                <w:szCs w:val="17"/>
                <w:color w:val="auto"/>
              </w:rPr>
            </w:pPr>
          </w:p>
        </w:tc>
      </w:tr>
      <w:tr>
        <w:trPr>
          <w:trHeight w:val="223"/>
        </w:trPr>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454545"/>
              </w:rPr>
              <w:t>2025</w:t>
            </w: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revenues</w:t>
            </w: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454545"/>
                <w:w w:val="99"/>
              </w:rPr>
              <w:t>revenues</w:t>
            </w:r>
          </w:p>
        </w:tc>
        <w:tc>
          <w:tcPr>
            <w:tcW w:w="108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454545"/>
              </w:rPr>
              <w:t>% change</w:t>
            </w: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2025</w:t>
            </w: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454545"/>
                <w:w w:val="99"/>
              </w:rPr>
              <w:t>revenues</w:t>
            </w: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revenues</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224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62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66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r>
      <w:tr>
        <w:trPr>
          <w:trHeight w:val="257"/>
        </w:trPr>
        <w:tc>
          <w:tcPr>
            <w:tcW w:w="2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188</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8.5 % $</w:t>
            </w:r>
          </w:p>
        </w:tc>
        <w:tc>
          <w:tcPr>
            <w:tcW w:w="6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208</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9.6 %</w:t>
            </w:r>
          </w:p>
        </w:tc>
        <w:tc>
          <w:tcPr>
            <w:tcW w:w="1080" w:type="dxa"/>
            <w:vAlign w:val="bottom"/>
            <w:tcBorders>
              <w:bottom w:val="single" w:sz="8" w:color="E4E4E4"/>
            </w:tcBorders>
            <w:gridSpan w:val="3"/>
            <w:shd w:val="clear" w:color="auto" w:fill="E4E4E4"/>
          </w:tcPr>
          <w:p>
            <w:pPr>
              <w:jc w:val="right"/>
              <w:ind w:right="60"/>
              <w:spacing w:after="0"/>
              <w:rPr>
                <w:sz w:val="20"/>
                <w:szCs w:val="20"/>
                <w:color w:val="auto"/>
              </w:rPr>
            </w:pPr>
            <w:r>
              <w:rPr>
                <w:rFonts w:ascii="Arial" w:cs="Arial" w:eastAsia="Arial" w:hAnsi="Arial"/>
                <w:sz w:val="16"/>
                <w:szCs w:val="16"/>
                <w:color w:val="auto"/>
              </w:rPr>
              <w:t>(10)%  $</w:t>
            </w:r>
          </w:p>
        </w:tc>
        <w:tc>
          <w:tcPr>
            <w:tcW w:w="6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387</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8.9 % $</w:t>
            </w:r>
          </w:p>
        </w:tc>
        <w:tc>
          <w:tcPr>
            <w:tcW w:w="6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373</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8.8 %</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3 %</w:t>
            </w:r>
          </w:p>
        </w:tc>
      </w:tr>
      <w:tr>
        <w:trPr>
          <w:trHeight w:val="255"/>
        </w:trPr>
        <w:tc>
          <w:tcPr>
            <w:tcW w:w="2240" w:type="dxa"/>
            <w:vAlign w:val="bottom"/>
          </w:tcPr>
          <w:p>
            <w:pPr>
              <w:ind w:left="20"/>
              <w:spacing w:after="0"/>
              <w:rPr>
                <w:sz w:val="20"/>
                <w:szCs w:val="20"/>
                <w:color w:val="auto"/>
              </w:rPr>
            </w:pPr>
            <w:r>
              <w:rPr>
                <w:rFonts w:ascii="Arial" w:cs="Arial" w:eastAsia="Arial" w:hAnsi="Arial"/>
                <w:sz w:val="16"/>
                <w:szCs w:val="16"/>
                <w:color w:val="auto"/>
              </w:rPr>
              <w:t>AVS</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267</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20.7 %</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255</w:t>
            </w:r>
          </w:p>
        </w:tc>
        <w:tc>
          <w:tcPr>
            <w:tcW w:w="1000" w:type="dxa"/>
            <w:vAlign w:val="bottom"/>
          </w:tcPr>
          <w:p>
            <w:pPr>
              <w:jc w:val="right"/>
              <w:spacing w:after="0"/>
              <w:rPr>
                <w:sz w:val="20"/>
                <w:szCs w:val="20"/>
                <w:color w:val="auto"/>
              </w:rPr>
            </w:pPr>
            <w:r>
              <w:rPr>
                <w:rFonts w:ascii="Arial" w:cs="Arial" w:eastAsia="Arial" w:hAnsi="Arial"/>
                <w:sz w:val="16"/>
                <w:szCs w:val="16"/>
                <w:color w:val="auto"/>
              </w:rPr>
              <w:t>20.5 %</w:t>
            </w:r>
          </w:p>
        </w:tc>
        <w:tc>
          <w:tcPr>
            <w:tcW w:w="840" w:type="dxa"/>
            <w:vAlign w:val="bottom"/>
          </w:tcPr>
          <w:p>
            <w:pPr>
              <w:jc w:val="right"/>
              <w:spacing w:after="0"/>
              <w:rPr>
                <w:sz w:val="20"/>
                <w:szCs w:val="20"/>
                <w:color w:val="auto"/>
              </w:rPr>
            </w:pPr>
            <w:r>
              <w:rPr>
                <w:rFonts w:ascii="Arial" w:cs="Arial" w:eastAsia="Arial" w:hAnsi="Arial"/>
                <w:sz w:val="16"/>
                <w:szCs w:val="16"/>
                <w:color w:val="auto"/>
              </w:rPr>
              <w:t>4 %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528</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20.9 %</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512</w:t>
            </w:r>
          </w:p>
        </w:tc>
        <w:tc>
          <w:tcPr>
            <w:tcW w:w="980" w:type="dxa"/>
            <w:vAlign w:val="bottom"/>
          </w:tcPr>
          <w:p>
            <w:pPr>
              <w:jc w:val="right"/>
              <w:spacing w:after="0"/>
              <w:rPr>
                <w:sz w:val="20"/>
                <w:szCs w:val="20"/>
                <w:color w:val="auto"/>
              </w:rPr>
            </w:pPr>
            <w:r>
              <w:rPr>
                <w:rFonts w:ascii="Arial" w:cs="Arial" w:eastAsia="Arial" w:hAnsi="Arial"/>
                <w:sz w:val="16"/>
                <w:szCs w:val="16"/>
                <w:color w:val="auto"/>
              </w:rPr>
              <w:t>20.7 %</w:t>
            </w:r>
          </w:p>
        </w:tc>
        <w:tc>
          <w:tcPr>
            <w:tcW w:w="84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9"/>
        </w:trPr>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3"/>
        </w:trPr>
        <w:tc>
          <w:tcPr>
            <w:tcW w:w="2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160" w:type="dxa"/>
            <w:vAlign w:val="bottom"/>
            <w:tcBorders>
              <w:bottom w:val="single" w:sz="8" w:color="E4E4E4"/>
            </w:tcBorders>
            <w:shd w:val="clear" w:color="auto" w:fill="E4E4E4"/>
          </w:tcPr>
          <w:p>
            <w:pPr>
              <w:spacing w:after="0"/>
              <w:rPr>
                <w:sz w:val="22"/>
                <w:szCs w:val="22"/>
                <w:color w:val="auto"/>
              </w:rPr>
            </w:pP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11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7.7 %</w:t>
            </w:r>
          </w:p>
        </w:tc>
        <w:tc>
          <w:tcPr>
            <w:tcW w:w="6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78</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10.1 %</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108</w:t>
            </w:r>
          </w:p>
        </w:tc>
        <w:tc>
          <w:tcPr>
            <w:tcW w:w="11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7.0 %</w:t>
            </w:r>
          </w:p>
        </w:tc>
        <w:tc>
          <w:tcPr>
            <w:tcW w:w="6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159</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10.5 %</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r>
      <w:tr>
        <w:trPr>
          <w:trHeight w:val="255"/>
        </w:trPr>
        <w:tc>
          <w:tcPr>
            <w:tcW w:w="2240" w:type="dxa"/>
            <w:vAlign w:val="bottom"/>
          </w:tcPr>
          <w:p>
            <w:pPr>
              <w:ind w:left="20"/>
              <w:spacing w:after="0"/>
              <w:rPr>
                <w:sz w:val="20"/>
                <w:szCs w:val="20"/>
                <w:color w:val="auto"/>
              </w:rPr>
            </w:pPr>
            <w:r>
              <w:rPr>
                <w:rFonts w:ascii="Arial" w:cs="Arial" w:eastAsia="Arial" w:hAnsi="Arial"/>
                <w:sz w:val="16"/>
                <w:szCs w:val="16"/>
                <w:color w:val="auto"/>
              </w:rPr>
              <w:t>PDx</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213</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29.3 %</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1000" w:type="dxa"/>
            <w:vAlign w:val="bottom"/>
          </w:tcPr>
          <w:p>
            <w:pPr>
              <w:jc w:val="right"/>
              <w:spacing w:after="0"/>
              <w:rPr>
                <w:sz w:val="20"/>
                <w:szCs w:val="20"/>
                <w:color w:val="auto"/>
              </w:rPr>
            </w:pPr>
            <w:r>
              <w:rPr>
                <w:rFonts w:ascii="Arial" w:cs="Arial" w:eastAsia="Arial" w:hAnsi="Arial"/>
                <w:sz w:val="16"/>
                <w:szCs w:val="16"/>
                <w:color w:val="auto"/>
              </w:rPr>
              <w:t>31.2 %</w:t>
            </w:r>
          </w:p>
        </w:tc>
        <w:tc>
          <w:tcPr>
            <w:tcW w:w="840" w:type="dxa"/>
            <w:vAlign w:val="bottom"/>
          </w:tcPr>
          <w:p>
            <w:pPr>
              <w:jc w:val="right"/>
              <w:spacing w:after="0"/>
              <w:rPr>
                <w:sz w:val="20"/>
                <w:szCs w:val="20"/>
                <w:color w:val="auto"/>
              </w:rPr>
            </w:pPr>
            <w:r>
              <w:rPr>
                <w:rFonts w:ascii="Arial" w:cs="Arial" w:eastAsia="Arial" w:hAnsi="Arial"/>
                <w:sz w:val="16"/>
                <w:szCs w:val="16"/>
                <w:color w:val="auto"/>
              </w:rPr>
              <w:t>7 %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30.7 %</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378</w:t>
            </w:r>
          </w:p>
        </w:tc>
        <w:tc>
          <w:tcPr>
            <w:tcW w:w="980" w:type="dxa"/>
            <w:vAlign w:val="bottom"/>
          </w:tcPr>
          <w:p>
            <w:pPr>
              <w:jc w:val="right"/>
              <w:spacing w:after="0"/>
              <w:rPr>
                <w:sz w:val="20"/>
                <w:szCs w:val="20"/>
                <w:color w:val="auto"/>
              </w:rPr>
            </w:pPr>
            <w:r>
              <w:rPr>
                <w:rFonts w:ascii="Arial" w:cs="Arial" w:eastAsia="Arial" w:hAnsi="Arial"/>
                <w:sz w:val="16"/>
                <w:szCs w:val="16"/>
                <w:color w:val="auto"/>
              </w:rPr>
              <w:t>30.5 %</w:t>
            </w:r>
          </w:p>
        </w:tc>
        <w:tc>
          <w:tcPr>
            <w:tcW w:w="84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9"/>
        </w:trPr>
        <w:tc>
          <w:tcPr>
            <w:tcW w:w="2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 xml:space="preserve">For the </w:t>
      </w:r>
      <w:r>
        <w:rPr>
          <w:rFonts w:ascii="Arial" w:cs="Arial" w:eastAsia="Arial" w:hAnsi="Arial"/>
          <w:sz w:val="16"/>
          <w:szCs w:val="16"/>
          <w:i w:val="1"/>
          <w:iCs w:val="1"/>
          <w:color w:val="000000"/>
        </w:rPr>
        <w:t>three months ended</w:t>
      </w:r>
      <w:r>
        <w:rPr>
          <w:rFonts w:ascii="Arial" w:cs="Arial" w:eastAsia="Arial" w:hAnsi="Arial"/>
          <w:sz w:val="16"/>
          <w:szCs w:val="16"/>
          <w:i w:val="1"/>
          <w:iCs w:val="1"/>
          <w:color w:val="231F20"/>
        </w:rPr>
        <w:t xml:space="preserve"> June 30, 2025</w:t>
      </w:r>
    </w:p>
    <w:p>
      <w:pPr>
        <w:spacing w:after="0" w:line="260" w:lineRule="exact"/>
        <w:rPr>
          <w:sz w:val="20"/>
          <w:szCs w:val="20"/>
          <w:color w:val="auto"/>
        </w:rPr>
      </w:pPr>
    </w:p>
    <w:p>
      <w:pPr>
        <w:ind w:left="660" w:right="540" w:hanging="328"/>
        <w:spacing w:after="0" w:line="286" w:lineRule="auto"/>
        <w:tabs>
          <w:tab w:leader="none" w:pos="649" w:val="left"/>
        </w:tabs>
        <w:numPr>
          <w:ilvl w:val="0"/>
          <w:numId w:val="30"/>
        </w:numPr>
        <w:rPr>
          <w:rFonts w:ascii="Arial" w:cs="Arial" w:eastAsia="Arial" w:hAnsi="Arial"/>
          <w:sz w:val="16"/>
          <w:szCs w:val="16"/>
          <w:i w:val="1"/>
          <w:iCs w:val="1"/>
          <w:color w:val="231F20"/>
        </w:rPr>
      </w:pPr>
      <w:r>
        <w:rPr>
          <w:rFonts w:ascii="Arial" w:cs="Arial" w:eastAsia="Arial" w:hAnsi="Arial"/>
          <w:sz w:val="16"/>
          <w:szCs w:val="16"/>
          <w:color w:val="auto"/>
        </w:rPr>
        <w:t>Imaging Segment EBIT was $188 million, a decrease of $20 million primarily due to cost inflation, including the impacts of incremental tariffs, partially offset by cost productivity;</w:t>
      </w:r>
    </w:p>
    <w:p>
      <w:pPr>
        <w:spacing w:after="0" w:line="34" w:lineRule="exact"/>
        <w:rPr>
          <w:rFonts w:ascii="Arial" w:cs="Arial" w:eastAsia="Arial" w:hAnsi="Arial"/>
          <w:sz w:val="16"/>
          <w:szCs w:val="16"/>
          <w:i w:val="1"/>
          <w:iCs w:val="1"/>
          <w:color w:val="231F20"/>
        </w:rPr>
      </w:pPr>
    </w:p>
    <w:p>
      <w:pPr>
        <w:ind w:left="660" w:right="120" w:hanging="328"/>
        <w:spacing w:after="0" w:line="304" w:lineRule="auto"/>
        <w:tabs>
          <w:tab w:leader="none" w:pos="649" w:val="left"/>
        </w:tabs>
        <w:numPr>
          <w:ilvl w:val="0"/>
          <w:numId w:val="30"/>
        </w:numPr>
        <w:rPr>
          <w:rFonts w:ascii="Arial" w:cs="Arial" w:eastAsia="Arial" w:hAnsi="Arial"/>
          <w:sz w:val="16"/>
          <w:szCs w:val="16"/>
          <w:i w:val="1"/>
          <w:iCs w:val="1"/>
          <w:color w:val="231F20"/>
        </w:rPr>
      </w:pPr>
      <w:r>
        <w:rPr>
          <w:rFonts w:ascii="Arial" w:cs="Arial" w:eastAsia="Arial" w:hAnsi="Arial"/>
          <w:sz w:val="16"/>
          <w:szCs w:val="16"/>
          <w:color w:val="auto"/>
        </w:rPr>
        <w:t>AVS Segment EBIT was $267 million, an increase of $11 million due to growth in sales volume and cost productivity, largely offset by cost inflation, including the impacts of incremental tariffs;</w:t>
      </w:r>
    </w:p>
    <w:p>
      <w:pPr>
        <w:spacing w:after="0" w:line="19" w:lineRule="exact"/>
        <w:rPr>
          <w:rFonts w:ascii="Arial" w:cs="Arial" w:eastAsia="Arial" w:hAnsi="Arial"/>
          <w:sz w:val="16"/>
          <w:szCs w:val="16"/>
          <w:i w:val="1"/>
          <w:iCs w:val="1"/>
          <w:color w:val="231F20"/>
        </w:rPr>
      </w:pPr>
    </w:p>
    <w:p>
      <w:pPr>
        <w:ind w:left="660" w:right="880" w:hanging="328"/>
        <w:spacing w:after="0" w:line="286" w:lineRule="auto"/>
        <w:tabs>
          <w:tab w:leader="none" w:pos="649" w:val="left"/>
        </w:tabs>
        <w:numPr>
          <w:ilvl w:val="0"/>
          <w:numId w:val="30"/>
        </w:numPr>
        <w:rPr>
          <w:rFonts w:ascii="Arial" w:cs="Arial" w:eastAsia="Arial" w:hAnsi="Arial"/>
          <w:sz w:val="16"/>
          <w:szCs w:val="16"/>
          <w:i w:val="1"/>
          <w:iCs w:val="1"/>
          <w:color w:val="231F20"/>
        </w:rPr>
      </w:pPr>
      <w:r>
        <w:rPr>
          <w:rFonts w:ascii="Arial" w:cs="Arial" w:eastAsia="Arial" w:hAnsi="Arial"/>
          <w:sz w:val="16"/>
          <w:szCs w:val="16"/>
          <w:color w:val="auto"/>
        </w:rPr>
        <w:t>PCS Segment EBIT was $60 million, a decrease of $18 million primarily due to cost inflation and unfavorable mix, partially offset by cost productivity; and</w:t>
      </w:r>
    </w:p>
    <w:p>
      <w:pPr>
        <w:spacing w:after="0" w:line="34" w:lineRule="exact"/>
        <w:rPr>
          <w:rFonts w:ascii="Arial" w:cs="Arial" w:eastAsia="Arial" w:hAnsi="Arial"/>
          <w:sz w:val="16"/>
          <w:szCs w:val="16"/>
          <w:i w:val="1"/>
          <w:iCs w:val="1"/>
          <w:color w:val="231F20"/>
        </w:rPr>
      </w:pPr>
    </w:p>
    <w:p>
      <w:pPr>
        <w:ind w:left="660" w:right="20" w:hanging="328"/>
        <w:spacing w:after="0" w:line="286" w:lineRule="auto"/>
        <w:tabs>
          <w:tab w:leader="none" w:pos="649" w:val="left"/>
        </w:tabs>
        <w:numPr>
          <w:ilvl w:val="0"/>
          <w:numId w:val="30"/>
        </w:numPr>
        <w:rPr>
          <w:rFonts w:ascii="Arial" w:cs="Arial" w:eastAsia="Arial" w:hAnsi="Arial"/>
          <w:sz w:val="16"/>
          <w:szCs w:val="16"/>
          <w:i w:val="1"/>
          <w:iCs w:val="1"/>
          <w:color w:val="231F20"/>
        </w:rPr>
      </w:pPr>
      <w:r>
        <w:rPr>
          <w:rFonts w:ascii="Arial" w:cs="Arial" w:eastAsia="Arial" w:hAnsi="Arial"/>
          <w:sz w:val="16"/>
          <w:szCs w:val="16"/>
          <w:color w:val="auto"/>
        </w:rPr>
        <w:t>PDx Segment EBIT was $213 million, an increase of $14 million due to an increase in price and growth in sales volume, partially offset by increased investment.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six months ended June 30, 2025</w:t>
      </w:r>
    </w:p>
    <w:p>
      <w:pPr>
        <w:spacing w:after="0" w:line="260" w:lineRule="exact"/>
        <w:rPr>
          <w:sz w:val="20"/>
          <w:szCs w:val="20"/>
          <w:color w:val="auto"/>
        </w:rPr>
      </w:pPr>
    </w:p>
    <w:p>
      <w:pPr>
        <w:ind w:left="660" w:right="460" w:hanging="328"/>
        <w:spacing w:after="0" w:line="286" w:lineRule="auto"/>
        <w:tabs>
          <w:tab w:leader="none" w:pos="649" w:val="left"/>
        </w:tabs>
        <w:numPr>
          <w:ilvl w:val="0"/>
          <w:numId w:val="31"/>
        </w:numPr>
        <w:rPr>
          <w:rFonts w:ascii="Arial" w:cs="Arial" w:eastAsia="Arial" w:hAnsi="Arial"/>
          <w:sz w:val="16"/>
          <w:szCs w:val="16"/>
          <w:i w:val="1"/>
          <w:iCs w:val="1"/>
          <w:color w:val="231F20"/>
        </w:rPr>
      </w:pPr>
      <w:r>
        <w:rPr>
          <w:rFonts w:ascii="Arial" w:cs="Arial" w:eastAsia="Arial" w:hAnsi="Arial"/>
          <w:sz w:val="16"/>
          <w:szCs w:val="16"/>
          <w:color w:val="auto"/>
        </w:rPr>
        <w:t>Imaging Segment EBIT was $387 million, an increase of $13 million due to cost productivity, growth in sales volume, and an increase in price, partially offset by cost inflation, including the impacts of incremental tariffs;</w:t>
      </w:r>
    </w:p>
    <w:p>
      <w:pPr>
        <w:spacing w:after="0" w:line="34" w:lineRule="exact"/>
        <w:rPr>
          <w:rFonts w:ascii="Arial" w:cs="Arial" w:eastAsia="Arial" w:hAnsi="Arial"/>
          <w:sz w:val="16"/>
          <w:szCs w:val="16"/>
          <w:i w:val="1"/>
          <w:iCs w:val="1"/>
          <w:color w:val="231F20"/>
        </w:rPr>
      </w:pPr>
    </w:p>
    <w:p>
      <w:pPr>
        <w:ind w:left="660" w:right="100" w:hanging="328"/>
        <w:spacing w:after="0" w:line="304" w:lineRule="auto"/>
        <w:tabs>
          <w:tab w:leader="none" w:pos="649" w:val="left"/>
        </w:tabs>
        <w:numPr>
          <w:ilvl w:val="0"/>
          <w:numId w:val="31"/>
        </w:numPr>
        <w:rPr>
          <w:rFonts w:ascii="Arial" w:cs="Arial" w:eastAsia="Arial" w:hAnsi="Arial"/>
          <w:sz w:val="16"/>
          <w:szCs w:val="16"/>
          <w:i w:val="1"/>
          <w:iCs w:val="1"/>
          <w:color w:val="231F20"/>
        </w:rPr>
      </w:pPr>
      <w:r>
        <w:rPr>
          <w:rFonts w:ascii="Arial" w:cs="Arial" w:eastAsia="Arial" w:hAnsi="Arial"/>
          <w:sz w:val="16"/>
          <w:szCs w:val="16"/>
          <w:color w:val="auto"/>
        </w:rPr>
        <w:t>AVS Segment EBIT was $528 million, an increase of $15 million due to growth in sales volume and cost productivity, largely offset by cost inflation, including the impacts of incremental tariffs;</w:t>
      </w:r>
    </w:p>
    <w:p>
      <w:pPr>
        <w:spacing w:after="0" w:line="19" w:lineRule="exact"/>
        <w:rPr>
          <w:rFonts w:ascii="Arial" w:cs="Arial" w:eastAsia="Arial" w:hAnsi="Arial"/>
          <w:sz w:val="16"/>
          <w:szCs w:val="16"/>
          <w:i w:val="1"/>
          <w:iCs w:val="1"/>
          <w:color w:val="231F20"/>
        </w:rPr>
      </w:pPr>
    </w:p>
    <w:p>
      <w:pPr>
        <w:ind w:left="640" w:hanging="308"/>
        <w:spacing w:after="0"/>
        <w:tabs>
          <w:tab w:leader="none" w:pos="640" w:val="left"/>
        </w:tabs>
        <w:numPr>
          <w:ilvl w:val="0"/>
          <w:numId w:val="31"/>
        </w:numPr>
        <w:rPr>
          <w:rFonts w:ascii="Arial" w:cs="Arial" w:eastAsia="Arial" w:hAnsi="Arial"/>
          <w:sz w:val="16"/>
          <w:szCs w:val="16"/>
          <w:i w:val="1"/>
          <w:iCs w:val="1"/>
          <w:color w:val="231F20"/>
        </w:rPr>
      </w:pPr>
      <w:r>
        <w:rPr>
          <w:rFonts w:ascii="Arial" w:cs="Arial" w:eastAsia="Arial" w:hAnsi="Arial"/>
          <w:sz w:val="16"/>
          <w:szCs w:val="16"/>
          <w:color w:val="auto"/>
        </w:rPr>
        <w:t>PCS Segment EBIT was $108 million, a decrease of $51 million due to cost inflation and unfavorable mix; and</w:t>
      </w:r>
    </w:p>
    <w:p>
      <w:pPr>
        <w:spacing w:after="0" w:line="99" w:lineRule="exact"/>
        <w:rPr>
          <w:rFonts w:ascii="Arial" w:cs="Arial" w:eastAsia="Arial" w:hAnsi="Arial"/>
          <w:sz w:val="16"/>
          <w:szCs w:val="16"/>
          <w:i w:val="1"/>
          <w:iCs w:val="1"/>
          <w:color w:val="231F20"/>
        </w:rPr>
      </w:pPr>
    </w:p>
    <w:p>
      <w:pPr>
        <w:ind w:left="660" w:right="20" w:hanging="328"/>
        <w:spacing w:after="0" w:line="286" w:lineRule="auto"/>
        <w:tabs>
          <w:tab w:leader="none" w:pos="649" w:val="left"/>
        </w:tabs>
        <w:numPr>
          <w:ilvl w:val="0"/>
          <w:numId w:val="31"/>
        </w:numPr>
        <w:rPr>
          <w:rFonts w:ascii="Arial" w:cs="Arial" w:eastAsia="Arial" w:hAnsi="Arial"/>
          <w:sz w:val="16"/>
          <w:szCs w:val="16"/>
          <w:i w:val="1"/>
          <w:iCs w:val="1"/>
          <w:color w:val="231F20"/>
        </w:rPr>
      </w:pPr>
      <w:r>
        <w:rPr>
          <w:rFonts w:ascii="Arial" w:cs="Arial" w:eastAsia="Arial" w:hAnsi="Arial"/>
          <w:sz w:val="16"/>
          <w:szCs w:val="16"/>
          <w:color w:val="auto"/>
        </w:rPr>
        <w:t>PDx Segment EBIT was $418 million, an increase of $41 million due to an increase in price and growth in sales volume, partially offset by increased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non-GAAP financial measures presented in this Quarterly Report on Form 10-Q are supplemental measures of our performance and our liquidity that we believe will help investors understand our financial condition, cash flows, and operating results, and assess our future prospects. When read in conjunction with our U.S. GAAP results, these non-GAAP financial measures provide a baseline for analyzing trends in our underlying businesses and can be used by management as one basis for making financial, operational, and planning decisions. Descriptions of the reported non-GAAP measures are included below.</w:t>
      </w:r>
    </w:p>
    <w:p>
      <w:pPr>
        <w:spacing w:after="0" w:line="19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report Organic revenue and Organic revenue growth rate to provide management and investors with additional understanding and visibility into the underlying revenue trends of our established, ongoing operations, as well as provide insights into overall demand for our products and services. To calculate these measures, we exclude the effect of acquisitions, dispositions, and foreign currency rate fluctuations.</w:t>
      </w:r>
    </w:p>
    <w:p>
      <w:pPr>
        <w:spacing w:after="0" w:line="19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We report EBIT, Adjusted EBIT, Adjusted EBIT margin, Adjusted net income, and Adjusted earnings per share to provide management and investors with additional understanding of our business by highlighting the results from ongoing operations and the underlying profitability factors, on a normalized basis. To calculate these measures we exclude, and reflect in the detailed reconciliations below, the following adjustments as applicable: Interest and other financial charges </w:t>
      </w:r>
      <w:r>
        <w:rPr>
          <w:rFonts w:ascii="Arial" w:cs="Arial" w:eastAsia="Arial" w:hAnsi="Arial"/>
          <w:sz w:val="16"/>
          <w:szCs w:val="16"/>
          <w:color w:val="231F20"/>
        </w:rPr>
        <w:t>–</w:t>
      </w:r>
      <w:r>
        <w:rPr>
          <w:rFonts w:ascii="Arial" w:cs="Arial" w:eastAsia="Arial" w:hAnsi="Arial"/>
          <w:sz w:val="16"/>
          <w:szCs w:val="16"/>
          <w:color w:val="auto"/>
        </w:rPr>
        <w:t xml:space="preserve"> net, Net (income) loss attributable to noncontrolling interests, Non-operating benefit (income) costs, Benefit (provision) for income taxes and certain tax related adjustments, and certain non-recurring and/or non-cash items. We may from time to time consider excluding other non-recurring items to enhance comparability between periods. Adjusted EBIT margin is calculated by taking Adjusted EBIT divided by Total revenues for the same period.</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We report Adjusted tax expense and Adjusted ETR to provide management and investors with a better understanding of the normalized tax rate applicable to our business and provide more consistent comparability across periods. Adjusted tax expense excludes the income tax related to the pre-tax income adjustments included as part of Adjusted net income and certain income tax adjustments, such as adjustments to deferred tax assets or liabilities. We may from time to time consider excluding other non-recurring tax items to enhance comparability between periods. Adjusted ETR is Adjusted tax expense divided by income before income taxes less the pre-tax income adjustments referenced above.</w:t>
      </w:r>
    </w:p>
    <w:p>
      <w:pPr>
        <w:spacing w:after="0" w:line="209"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We report Free cash flow to provide management and investors with an important measure of our ability to generate cash on a normalized basis and provide insight into our flexibility to allocate capital. Free cash flow is Cash from (used for) operating activities – continuing operations including cash flows related to the additions and dispositions of property, plant, and equipment (“PP&amp;E”) and additions of internal-use software. Free cash flow does not represent residual cash flows available for discretionary expenditures, due to the fact that the measure does not deduct the capital required for debt repayments.</w:t>
      </w:r>
    </w:p>
    <w:p>
      <w:pPr>
        <w:spacing w:after="0" w:line="210"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Management recognizes that these non-GAAP financial measures have limitations, including that they may be calculated differently by other companies or may be used under different circumstances or for different purposes. In order to compensate for the discussed limitations, management does not consider these measures in isolation from or as alternatives to the comparable financial measures determined in accordance with U.S. GAAP. The detailed reconciliations of each non-GAAP financial measure to the most directly comparable U.S. GAAP financial measure are provided below, and no single financial measure should be relied on to evaluate our business.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80" w:type="dxa"/>
            <w:vAlign w:val="bottom"/>
          </w:tcPr>
          <w:p>
            <w:pPr>
              <w:ind w:left="80"/>
              <w:spacing w:after="0"/>
              <w:rPr>
                <w:sz w:val="20"/>
                <w:szCs w:val="20"/>
                <w:color w:val="auto"/>
              </w:rPr>
            </w:pPr>
            <w:r>
              <w:rPr>
                <w:rFonts w:ascii="Arial" w:cs="Arial" w:eastAsia="Arial" w:hAnsi="Arial"/>
                <w:sz w:val="16"/>
                <w:szCs w:val="16"/>
                <w:b w:val="1"/>
                <w:bCs w:val="1"/>
                <w:color w:val="auto"/>
              </w:rPr>
              <w:t>Organic Revenue*</w:t>
            </w:r>
          </w:p>
        </w:tc>
        <w:tc>
          <w:tcPr>
            <w:tcW w:w="280" w:type="dxa"/>
            <w:vAlign w:val="bottom"/>
          </w:tcPr>
          <w:p>
            <w:pPr>
              <w:spacing w:after="0"/>
              <w:rPr>
                <w:sz w:val="20"/>
                <w:szCs w:val="20"/>
                <w:color w:val="auto"/>
              </w:rPr>
            </w:pPr>
          </w:p>
        </w:tc>
        <w:tc>
          <w:tcPr>
            <w:tcW w:w="3620" w:type="dxa"/>
            <w:vAlign w:val="bottom"/>
            <w:gridSpan w:val="5"/>
          </w:tcPr>
          <w:p>
            <w:pPr>
              <w:ind w:left="200"/>
              <w:spacing w:after="0"/>
              <w:rPr>
                <w:sz w:val="20"/>
                <w:szCs w:val="20"/>
                <w:color w:val="auto"/>
              </w:rPr>
            </w:pPr>
            <w:r>
              <w:rPr>
                <w:rFonts w:ascii="Arial" w:cs="Arial" w:eastAsia="Arial" w:hAnsi="Arial"/>
                <w:sz w:val="16"/>
                <w:szCs w:val="16"/>
                <w:b w:val="1"/>
                <w:bCs w:val="1"/>
                <w:color w:val="454545"/>
              </w:rPr>
              <w:t>For the three months ended June 30</w:t>
            </w:r>
          </w:p>
        </w:tc>
        <w:tc>
          <w:tcPr>
            <w:tcW w:w="280" w:type="dxa"/>
            <w:vAlign w:val="bottom"/>
          </w:tcPr>
          <w:p>
            <w:pPr>
              <w:spacing w:after="0"/>
              <w:rPr>
                <w:sz w:val="20"/>
                <w:szCs w:val="20"/>
                <w:color w:val="auto"/>
              </w:rPr>
            </w:pPr>
          </w:p>
        </w:tc>
        <w:tc>
          <w:tcPr>
            <w:tcW w:w="348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358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r>
      <w:tr>
        <w:trPr>
          <w:trHeight w:val="229"/>
        </w:trPr>
        <w:tc>
          <w:tcPr>
            <w:tcW w:w="3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454545"/>
              </w:rPr>
              <w:t>2025</w:t>
            </w:r>
          </w:p>
        </w:tc>
        <w:tc>
          <w:tcPr>
            <w:tcW w:w="300" w:type="dxa"/>
            <w:vAlign w:val="bottom"/>
          </w:tcPr>
          <w:p>
            <w:pPr>
              <w:spacing w:after="0"/>
              <w:rPr>
                <w:sz w:val="19"/>
                <w:szCs w:val="19"/>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2024</w:t>
            </w: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454545"/>
              </w:rPr>
              <w:t>% change</w:t>
            </w:r>
          </w:p>
        </w:tc>
        <w:tc>
          <w:tcPr>
            <w:tcW w:w="280" w:type="dxa"/>
            <w:vAlign w:val="bottom"/>
          </w:tcPr>
          <w:p>
            <w:pPr>
              <w:spacing w:after="0"/>
              <w:rPr>
                <w:sz w:val="19"/>
                <w:szCs w:val="19"/>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454545"/>
              </w:rPr>
              <w:t>2025</w:t>
            </w:r>
          </w:p>
        </w:tc>
        <w:tc>
          <w:tcPr>
            <w:tcW w:w="300" w:type="dxa"/>
            <w:vAlign w:val="bottom"/>
          </w:tcPr>
          <w:p>
            <w:pPr>
              <w:spacing w:after="0"/>
              <w:rPr>
                <w:sz w:val="19"/>
                <w:szCs w:val="19"/>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2024</w:t>
            </w:r>
          </w:p>
        </w:tc>
        <w:tc>
          <w:tcPr>
            <w:tcW w:w="1160" w:type="dxa"/>
            <w:vAlign w:val="bottom"/>
          </w:tcPr>
          <w:p>
            <w:pPr>
              <w:jc w:val="right"/>
              <w:ind w:right="15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35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r>
      <w:tr>
        <w:trPr>
          <w:trHeight w:val="230"/>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revenues</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2,204</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2,171</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4,344</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4,233</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r>
      <w:tr>
        <w:trPr>
          <w:trHeight w:val="256"/>
        </w:trPr>
        <w:tc>
          <w:tcPr>
            <w:tcW w:w="358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r>
      <w:tr>
        <w:trPr>
          <w:trHeight w:val="257"/>
        </w:trPr>
        <w:tc>
          <w:tcPr>
            <w:tcW w:w="35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80" w:type="dxa"/>
            <w:vAlign w:val="bottom"/>
            <w:shd w:val="clear" w:color="auto" w:fill="E4E4E4"/>
          </w:tcPr>
          <w:p>
            <w:pPr>
              <w:spacing w:after="0"/>
              <w:rPr>
                <w:sz w:val="22"/>
                <w:szCs w:val="22"/>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28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8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4E4E4"/>
          </w:tcPr>
          <w:p>
            <w:pPr>
              <w:spacing w:after="0"/>
              <w:rPr>
                <w:sz w:val="22"/>
                <w:szCs w:val="22"/>
                <w:color w:val="auto"/>
              </w:rPr>
            </w:pPr>
          </w:p>
        </w:tc>
      </w:tr>
      <w:tr>
        <w:trPr>
          <w:trHeight w:val="228"/>
        </w:trPr>
        <w:tc>
          <w:tcPr>
            <w:tcW w:w="358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w:t>
            </w:r>
          </w:p>
        </w:tc>
        <w:tc>
          <w:tcPr>
            <w:tcW w:w="30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9"/>
                <w:szCs w:val="19"/>
                <w:color w:val="auto"/>
              </w:rPr>
            </w:pPr>
          </w:p>
        </w:tc>
      </w:tr>
      <w:tr>
        <w:trPr>
          <w:trHeight w:val="29"/>
        </w:trPr>
        <w:tc>
          <w:tcPr>
            <w:tcW w:w="3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Organic revenue*</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2,189</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2,171</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tcBorders>
              <w:bottom w:val="single" w:sz="8" w:color="E4E4E4"/>
            </w:tcBorders>
            <w:shd w:val="clear" w:color="auto" w:fill="E4E4E4"/>
          </w:tcPr>
          <w:p>
            <w:pPr>
              <w:spacing w:after="0"/>
              <w:rPr>
                <w:sz w:val="21"/>
                <w:szCs w:val="21"/>
                <w:color w:val="auto"/>
              </w:rPr>
            </w:pP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4,354</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4,233</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r>
      <w:tr>
        <w:trPr>
          <w:trHeight w:val="229"/>
        </w:trPr>
        <w:tc>
          <w:tcPr>
            <w:tcW w:w="35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AVS revenues</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1,289</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1,249</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2,529</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2,475</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r>
      <w:tr>
        <w:trPr>
          <w:trHeight w:val="21"/>
        </w:trPr>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7"/>
        </w:trPr>
        <w:tc>
          <w:tcPr>
            <w:tcW w:w="35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80" w:type="dxa"/>
            <w:vAlign w:val="bottom"/>
            <w:shd w:val="clear" w:color="auto" w:fill="E4E4E4"/>
          </w:tcPr>
          <w:p>
            <w:pPr>
              <w:spacing w:after="0"/>
              <w:rPr>
                <w:sz w:val="22"/>
                <w:szCs w:val="22"/>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28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8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4E4E4"/>
          </w:tcPr>
          <w:p>
            <w:pPr>
              <w:spacing w:after="0"/>
              <w:rPr>
                <w:sz w:val="22"/>
                <w:szCs w:val="22"/>
                <w:color w:val="auto"/>
              </w:rPr>
            </w:pPr>
          </w:p>
        </w:tc>
      </w:tr>
      <w:tr>
        <w:trPr>
          <w:trHeight w:val="257"/>
        </w:trPr>
        <w:tc>
          <w:tcPr>
            <w:tcW w:w="358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r>
      <w:tr>
        <w:trPr>
          <w:trHeight w:val="261"/>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28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30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4E4E4"/>
            </w:tcBorders>
            <w:shd w:val="clear" w:color="auto" w:fill="E4E4E4"/>
          </w:tcPr>
          <w:p>
            <w:pPr>
              <w:spacing w:after="0"/>
              <w:rPr>
                <w:sz w:val="22"/>
                <w:szCs w:val="22"/>
                <w:color w:val="auto"/>
              </w:rPr>
            </w:pPr>
          </w:p>
        </w:tc>
      </w:tr>
      <w:tr>
        <w:trPr>
          <w:trHeight w:val="229"/>
        </w:trPr>
        <w:tc>
          <w:tcPr>
            <w:tcW w:w="35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AVS Organic revenue*</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1,279</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1,249</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2,537</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2,475</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0"/>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revenues</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778</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772</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1,531</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1,519</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57"/>
        </w:trPr>
        <w:tc>
          <w:tcPr>
            <w:tcW w:w="358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r>
      <w:tr>
        <w:trPr>
          <w:trHeight w:val="257"/>
        </w:trPr>
        <w:tc>
          <w:tcPr>
            <w:tcW w:w="35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80" w:type="dxa"/>
            <w:vAlign w:val="bottom"/>
            <w:shd w:val="clear" w:color="auto" w:fill="E4E4E4"/>
          </w:tcPr>
          <w:p>
            <w:pPr>
              <w:spacing w:after="0"/>
              <w:rPr>
                <w:sz w:val="22"/>
                <w:szCs w:val="22"/>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28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8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4E4E4"/>
          </w:tcPr>
          <w:p>
            <w:pPr>
              <w:spacing w:after="0"/>
              <w:rPr>
                <w:sz w:val="22"/>
                <w:szCs w:val="22"/>
                <w:color w:val="auto"/>
              </w:rPr>
            </w:pPr>
          </w:p>
        </w:tc>
      </w:tr>
      <w:tr>
        <w:trPr>
          <w:trHeight w:val="227"/>
        </w:trPr>
        <w:tc>
          <w:tcPr>
            <w:tcW w:w="358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9"/>
                <w:szCs w:val="19"/>
                <w:color w:val="auto"/>
              </w:rPr>
            </w:pPr>
          </w:p>
        </w:tc>
      </w:tr>
      <w:tr>
        <w:trPr>
          <w:trHeight w:val="29"/>
        </w:trPr>
        <w:tc>
          <w:tcPr>
            <w:tcW w:w="3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Organic revenue*</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775</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772</w:t>
            </w:r>
          </w:p>
        </w:tc>
        <w:tc>
          <w:tcPr>
            <w:tcW w:w="1300" w:type="dxa"/>
            <w:vAlign w:val="bottom"/>
            <w:tcBorders>
              <w:bottom w:val="single" w:sz="8" w:color="E4E4E4"/>
            </w:tcBorders>
            <w:gridSpan w:val="2"/>
            <w:shd w:val="clear" w:color="auto" w:fill="E4E4E4"/>
          </w:tcPr>
          <w:p>
            <w:pPr>
              <w:jc w:val="right"/>
              <w:ind w:right="20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1,535</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1,519</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29"/>
        </w:trPr>
        <w:tc>
          <w:tcPr>
            <w:tcW w:w="35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revenues</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729</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639</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1,362</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1,238</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r>
      <w:tr>
        <w:trPr>
          <w:trHeight w:val="21"/>
        </w:trPr>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6"/>
        </w:trPr>
        <w:tc>
          <w:tcPr>
            <w:tcW w:w="35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80" w:type="dxa"/>
            <w:vAlign w:val="bottom"/>
            <w:shd w:val="clear" w:color="auto" w:fill="E4E4E4"/>
          </w:tcPr>
          <w:p>
            <w:pPr>
              <w:spacing w:after="0"/>
              <w:rPr>
                <w:sz w:val="22"/>
                <w:szCs w:val="22"/>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53</w:t>
            </w:r>
          </w:p>
        </w:tc>
        <w:tc>
          <w:tcPr>
            <w:tcW w:w="300" w:type="dxa"/>
            <w:vAlign w:val="bottom"/>
            <w:shd w:val="clear" w:color="auto" w:fill="E4E4E4"/>
          </w:tcPr>
          <w:p>
            <w:pPr>
              <w:spacing w:after="0"/>
              <w:rPr>
                <w:sz w:val="22"/>
                <w:szCs w:val="22"/>
                <w:color w:val="auto"/>
              </w:rPr>
            </w:pPr>
          </w:p>
        </w:tc>
        <w:tc>
          <w:tcPr>
            <w:tcW w:w="10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2</w:t>
            </w:r>
          </w:p>
        </w:tc>
        <w:tc>
          <w:tcPr>
            <w:tcW w:w="116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28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53</w:t>
            </w:r>
          </w:p>
        </w:tc>
        <w:tc>
          <w:tcPr>
            <w:tcW w:w="300" w:type="dxa"/>
            <w:vAlign w:val="bottom"/>
            <w:shd w:val="clear" w:color="auto" w:fill="E4E4E4"/>
          </w:tcPr>
          <w:p>
            <w:pPr>
              <w:spacing w:after="0"/>
              <w:rPr>
                <w:sz w:val="22"/>
                <w:szCs w:val="22"/>
                <w:color w:val="auto"/>
              </w:rPr>
            </w:pPr>
          </w:p>
        </w:tc>
        <w:tc>
          <w:tcPr>
            <w:tcW w:w="108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2</w:t>
            </w:r>
          </w:p>
        </w:tc>
        <w:tc>
          <w:tcPr>
            <w:tcW w:w="1160" w:type="dxa"/>
            <w:vAlign w:val="bottom"/>
            <w:shd w:val="clear" w:color="auto" w:fill="E4E4E4"/>
          </w:tcPr>
          <w:p>
            <w:pPr>
              <w:spacing w:after="0"/>
              <w:rPr>
                <w:sz w:val="22"/>
                <w:szCs w:val="22"/>
                <w:color w:val="auto"/>
              </w:rPr>
            </w:pPr>
          </w:p>
        </w:tc>
      </w:tr>
      <w:tr>
        <w:trPr>
          <w:trHeight w:val="257"/>
        </w:trPr>
        <w:tc>
          <w:tcPr>
            <w:tcW w:w="358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r>
      <w:tr>
        <w:trPr>
          <w:trHeight w:val="262"/>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28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3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4E4E4"/>
            </w:tcBorders>
            <w:shd w:val="clear" w:color="auto" w:fill="E4E4E4"/>
          </w:tcPr>
          <w:p>
            <w:pPr>
              <w:spacing w:after="0"/>
              <w:rPr>
                <w:sz w:val="22"/>
                <w:szCs w:val="22"/>
                <w:color w:val="auto"/>
              </w:rPr>
            </w:pPr>
          </w:p>
        </w:tc>
      </w:tr>
      <w:tr>
        <w:trPr>
          <w:trHeight w:val="229"/>
        </w:trPr>
        <w:tc>
          <w:tcPr>
            <w:tcW w:w="35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Organic revenue*</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669</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637</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1,315</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1,236</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0"/>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revenues</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9</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w:t>
            </w:r>
          </w:p>
        </w:tc>
        <w:tc>
          <w:tcPr>
            <w:tcW w:w="14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24</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w:t>
            </w:r>
          </w:p>
        </w:tc>
      </w:tr>
      <w:tr>
        <w:trPr>
          <w:trHeight w:val="256"/>
        </w:trPr>
        <w:tc>
          <w:tcPr>
            <w:tcW w:w="358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r>
      <w:tr>
        <w:trPr>
          <w:trHeight w:val="257"/>
        </w:trPr>
        <w:tc>
          <w:tcPr>
            <w:tcW w:w="35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80" w:type="dxa"/>
            <w:vAlign w:val="bottom"/>
            <w:shd w:val="clear" w:color="auto" w:fill="E4E4E4"/>
          </w:tcPr>
          <w:p>
            <w:pPr>
              <w:spacing w:after="0"/>
              <w:rPr>
                <w:sz w:val="22"/>
                <w:szCs w:val="22"/>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4E4E4"/>
          </w:tcPr>
          <w:p>
            <w:pPr>
              <w:spacing w:after="0"/>
              <w:rPr>
                <w:sz w:val="22"/>
                <w:szCs w:val="22"/>
                <w:color w:val="auto"/>
              </w:rPr>
            </w:pPr>
          </w:p>
        </w:tc>
        <w:tc>
          <w:tcPr>
            <w:tcW w:w="140" w:type="dxa"/>
            <w:vAlign w:val="bottom"/>
            <w:shd w:val="clear" w:color="auto" w:fill="E4E4E4"/>
          </w:tcPr>
          <w:p>
            <w:pPr>
              <w:spacing w:after="0"/>
              <w:rPr>
                <w:sz w:val="22"/>
                <w:szCs w:val="22"/>
                <w:color w:val="auto"/>
              </w:rPr>
            </w:pPr>
          </w:p>
        </w:tc>
        <w:tc>
          <w:tcPr>
            <w:tcW w:w="280" w:type="dxa"/>
            <w:vAlign w:val="bottom"/>
            <w:shd w:val="clear" w:color="auto" w:fill="E4E4E4"/>
          </w:tcPr>
          <w:p>
            <w:pPr>
              <w:spacing w:after="0"/>
              <w:rPr>
                <w:sz w:val="22"/>
                <w:szCs w:val="22"/>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8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E4E4E4"/>
          </w:tcPr>
          <w:p>
            <w:pPr>
              <w:spacing w:after="0"/>
              <w:rPr>
                <w:sz w:val="22"/>
                <w:szCs w:val="22"/>
                <w:color w:val="auto"/>
              </w:rPr>
            </w:pPr>
          </w:p>
        </w:tc>
      </w:tr>
      <w:tr>
        <w:trPr>
          <w:trHeight w:val="228"/>
        </w:trPr>
        <w:tc>
          <w:tcPr>
            <w:tcW w:w="358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9"/>
                <w:szCs w:val="19"/>
                <w:color w:val="auto"/>
              </w:rPr>
            </w:pPr>
          </w:p>
        </w:tc>
      </w:tr>
      <w:tr>
        <w:trPr>
          <w:trHeight w:val="29"/>
        </w:trPr>
        <w:tc>
          <w:tcPr>
            <w:tcW w:w="3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Organic revenue*</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9</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w:t>
            </w:r>
          </w:p>
        </w:tc>
        <w:tc>
          <w:tcPr>
            <w:tcW w:w="140" w:type="dxa"/>
            <w:vAlign w:val="bottom"/>
            <w:tcBorders>
              <w:bottom w:val="single" w:sz="8" w:color="E4E4E4"/>
            </w:tcBorders>
            <w:shd w:val="clear" w:color="auto" w:fill="E4E4E4"/>
          </w:tcPr>
          <w:p>
            <w:pPr>
              <w:spacing w:after="0"/>
              <w:rPr>
                <w:sz w:val="21"/>
                <w:szCs w:val="21"/>
                <w:color w:val="auto"/>
              </w:rPr>
            </w:pP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24</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w:t>
            </w:r>
          </w:p>
        </w:tc>
      </w:tr>
      <w:tr>
        <w:trPr>
          <w:trHeight w:val="229"/>
        </w:trPr>
        <w:tc>
          <w:tcPr>
            <w:tcW w:w="35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Total revenues</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5,007</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4,839</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9,784</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9,489</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358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280" w:type="dxa"/>
            <w:vAlign w:val="bottom"/>
            <w:shd w:val="clear" w:color="auto" w:fill="E4E4E4"/>
          </w:tcPr>
          <w:p>
            <w:pPr>
              <w:spacing w:after="0"/>
              <w:rPr>
                <w:sz w:val="21"/>
                <w:szCs w:val="21"/>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53</w:t>
            </w:r>
          </w:p>
        </w:tc>
        <w:tc>
          <w:tcPr>
            <w:tcW w:w="300" w:type="dxa"/>
            <w:vAlign w:val="bottom"/>
            <w:shd w:val="clear" w:color="auto" w:fill="E4E4E4"/>
          </w:tcPr>
          <w:p>
            <w:pPr>
              <w:spacing w:after="0"/>
              <w:rPr>
                <w:sz w:val="21"/>
                <w:szCs w:val="21"/>
                <w:color w:val="auto"/>
              </w:rPr>
            </w:pPr>
          </w:p>
        </w:tc>
        <w:tc>
          <w:tcPr>
            <w:tcW w:w="10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2</w:t>
            </w:r>
          </w:p>
        </w:tc>
        <w:tc>
          <w:tcPr>
            <w:tcW w:w="116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280" w:type="dxa"/>
            <w:vAlign w:val="bottom"/>
            <w:shd w:val="clear" w:color="auto" w:fill="E4E4E4"/>
          </w:tcPr>
          <w:p>
            <w:pPr>
              <w:spacing w:after="0"/>
              <w:rPr>
                <w:sz w:val="21"/>
                <w:szCs w:val="21"/>
                <w:color w:val="auto"/>
              </w:rPr>
            </w:pP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67</w:t>
            </w:r>
          </w:p>
        </w:tc>
        <w:tc>
          <w:tcPr>
            <w:tcW w:w="300" w:type="dxa"/>
            <w:vAlign w:val="bottom"/>
            <w:shd w:val="clear" w:color="auto" w:fill="E4E4E4"/>
          </w:tcPr>
          <w:p>
            <w:pPr>
              <w:spacing w:after="0"/>
              <w:rPr>
                <w:sz w:val="21"/>
                <w:szCs w:val="21"/>
                <w:color w:val="auto"/>
              </w:rPr>
            </w:pPr>
          </w:p>
        </w:tc>
        <w:tc>
          <w:tcPr>
            <w:tcW w:w="108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2</w:t>
            </w:r>
          </w:p>
        </w:tc>
        <w:tc>
          <w:tcPr>
            <w:tcW w:w="1160" w:type="dxa"/>
            <w:vAlign w:val="bottom"/>
            <w:shd w:val="clear" w:color="auto" w:fill="E4E4E4"/>
          </w:tcPr>
          <w:p>
            <w:pPr>
              <w:spacing w:after="0"/>
              <w:rPr>
                <w:sz w:val="21"/>
                <w:szCs w:val="21"/>
                <w:color w:val="auto"/>
              </w:rPr>
            </w:pPr>
          </w:p>
        </w:tc>
      </w:tr>
      <w:tr>
        <w:trPr>
          <w:trHeight w:val="257"/>
        </w:trPr>
        <w:tc>
          <w:tcPr>
            <w:tcW w:w="358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2"/>
                <w:szCs w:val="22"/>
                <w:color w:val="auto"/>
              </w:rPr>
            </w:pPr>
          </w:p>
        </w:tc>
      </w:tr>
      <w:tr>
        <w:trPr>
          <w:trHeight w:val="261"/>
        </w:trPr>
        <w:tc>
          <w:tcPr>
            <w:tcW w:w="358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28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w:t>
            </w:r>
          </w:p>
        </w:tc>
        <w:tc>
          <w:tcPr>
            <w:tcW w:w="3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w:t>
            </w:r>
          </w:p>
        </w:tc>
        <w:tc>
          <w:tcPr>
            <w:tcW w:w="30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4E4E4"/>
            </w:tcBorders>
            <w:shd w:val="clear" w:color="auto" w:fill="E4E4E4"/>
          </w:tcPr>
          <w:p>
            <w:pPr>
              <w:spacing w:after="0"/>
              <w:rPr>
                <w:sz w:val="22"/>
                <w:szCs w:val="22"/>
                <w:color w:val="auto"/>
              </w:rPr>
            </w:pPr>
          </w:p>
        </w:tc>
      </w:tr>
      <w:tr>
        <w:trPr>
          <w:trHeight w:val="229"/>
        </w:trPr>
        <w:tc>
          <w:tcPr>
            <w:tcW w:w="35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Organic revenue*</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4,917</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4,837</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9,759</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9,487</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r>
      <w:tr>
        <w:trPr>
          <w:trHeight w:val="21"/>
        </w:trPr>
        <w:tc>
          <w:tcPr>
            <w:tcW w:w="3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40" w:right="160" w:hanging="414"/>
        <w:spacing w:after="0" w:line="299"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revenues attributable to acquisitions from the date the Company completed the transaction through the end of four quarters following the transaction.</w:t>
      </w:r>
    </w:p>
    <w:p>
      <w:pPr>
        <w:ind w:left="440" w:hanging="414"/>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revenues attributable to dispositions for the four quarters preceding the disposition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3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336"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3020" w:type="dxa"/>
            <w:vAlign w:val="bottom"/>
            <w:gridSpan w:val="6"/>
          </w:tcPr>
          <w:p>
            <w:pPr>
              <w:ind w:left="60"/>
              <w:spacing w:after="0"/>
              <w:rPr>
                <w:sz w:val="20"/>
                <w:szCs w:val="20"/>
                <w:color w:val="auto"/>
              </w:rPr>
            </w:pPr>
            <w:r>
              <w:rPr>
                <w:rFonts w:ascii="Arial" w:cs="Arial" w:eastAsia="Arial" w:hAnsi="Arial"/>
                <w:sz w:val="16"/>
                <w:szCs w:val="16"/>
                <w:b w:val="1"/>
                <w:bCs w:val="1"/>
                <w:color w:val="454545"/>
              </w:rPr>
              <w:t>For the three months ended June 30</w:t>
            </w:r>
          </w:p>
        </w:tc>
        <w:tc>
          <w:tcPr>
            <w:tcW w:w="120" w:type="dxa"/>
            <w:vAlign w:val="bottom"/>
          </w:tcPr>
          <w:p>
            <w:pPr>
              <w:spacing w:after="0"/>
              <w:rPr>
                <w:sz w:val="20"/>
                <w:szCs w:val="20"/>
                <w:color w:val="auto"/>
              </w:rPr>
            </w:pPr>
          </w:p>
        </w:tc>
        <w:tc>
          <w:tcPr>
            <w:tcW w:w="27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532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r>
      <w:tr>
        <w:trPr>
          <w:trHeight w:val="229"/>
        </w:trPr>
        <w:tc>
          <w:tcPr>
            <w:tcW w:w="5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2025</w:t>
            </w:r>
          </w:p>
        </w:tc>
        <w:tc>
          <w:tcPr>
            <w:tcW w:w="22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2024</w:t>
            </w: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454545"/>
              </w:rPr>
              <w:t>% change</w:t>
            </w:r>
          </w:p>
        </w:tc>
        <w:tc>
          <w:tcPr>
            <w:tcW w:w="120" w:type="dxa"/>
            <w:vAlign w:val="bottom"/>
          </w:tcPr>
          <w:p>
            <w:pPr>
              <w:spacing w:after="0"/>
              <w:rPr>
                <w:sz w:val="19"/>
                <w:szCs w:val="19"/>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2025</w:t>
            </w:r>
          </w:p>
        </w:tc>
        <w:tc>
          <w:tcPr>
            <w:tcW w:w="24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2024</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53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r>
      <w:tr>
        <w:trPr>
          <w:trHeight w:val="230"/>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486</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428</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w:t>
            </w:r>
          </w:p>
        </w:tc>
        <w:tc>
          <w:tcPr>
            <w:tcW w:w="12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1,049</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802</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w:t>
            </w:r>
          </w:p>
        </w:tc>
      </w:tr>
      <w:tr>
        <w:trPr>
          <w:trHeight w:val="227"/>
        </w:trPr>
        <w:tc>
          <w:tcPr>
            <w:tcW w:w="5320" w:type="dxa"/>
            <w:vAlign w:val="bottom"/>
          </w:tcPr>
          <w:p>
            <w:pPr>
              <w:ind w:left="20"/>
              <w:spacing w:after="0"/>
              <w:rPr>
                <w:sz w:val="20"/>
                <w:szCs w:val="20"/>
                <w:color w:val="auto"/>
              </w:rPr>
            </w:pPr>
            <w:r>
              <w:rPr>
                <w:rFonts w:ascii="Arial" w:cs="Arial" w:eastAsia="Arial" w:hAnsi="Arial"/>
                <w:sz w:val="16"/>
                <w:szCs w:val="16"/>
                <w:color w:val="auto"/>
              </w:rPr>
              <w:t>Add: Interest and other financial charges – net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224</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254</w:t>
            </w:r>
          </w:p>
        </w:tc>
        <w:tc>
          <w:tcPr>
            <w:tcW w:w="940" w:type="dxa"/>
            <w:vAlign w:val="bottom"/>
          </w:tcPr>
          <w:p>
            <w:pPr>
              <w:spacing w:after="0"/>
              <w:rPr>
                <w:sz w:val="19"/>
                <w:szCs w:val="19"/>
                <w:color w:val="auto"/>
              </w:rPr>
            </w:pPr>
          </w:p>
        </w:tc>
      </w:tr>
      <w:tr>
        <w:trPr>
          <w:trHeight w:val="29"/>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Non-operating benefit (income) costs</w:t>
            </w:r>
          </w:p>
        </w:tc>
        <w:tc>
          <w:tcPr>
            <w:tcW w:w="22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(73)</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(101)</w:t>
            </w:r>
          </w:p>
        </w:tc>
        <w:tc>
          <w:tcPr>
            <w:tcW w:w="94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(148)</w:t>
            </w:r>
          </w:p>
        </w:tc>
        <w:tc>
          <w:tcPr>
            <w:tcW w:w="24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(204)</w:t>
            </w:r>
          </w:p>
        </w:tc>
        <w:tc>
          <w:tcPr>
            <w:tcW w:w="940" w:type="dxa"/>
            <w:vAlign w:val="bottom"/>
            <w:tcBorders>
              <w:bottom w:val="single" w:sz="8" w:color="E4E4E4"/>
            </w:tcBorders>
            <w:shd w:val="clear" w:color="auto" w:fill="E4E4E4"/>
          </w:tcPr>
          <w:p>
            <w:pPr>
              <w:spacing w:after="0"/>
              <w:rPr>
                <w:sz w:val="20"/>
                <w:szCs w:val="20"/>
                <w:color w:val="auto"/>
              </w:rPr>
            </w:pPr>
          </w:p>
        </w:tc>
      </w:tr>
      <w:tr>
        <w:trPr>
          <w:trHeight w:val="228"/>
        </w:trPr>
        <w:tc>
          <w:tcPr>
            <w:tcW w:w="5320" w:type="dxa"/>
            <w:vAlign w:val="bottom"/>
          </w:tcPr>
          <w:p>
            <w:pPr>
              <w:ind w:left="20"/>
              <w:spacing w:after="0"/>
              <w:rPr>
                <w:sz w:val="20"/>
                <w:szCs w:val="20"/>
                <w:color w:val="auto"/>
              </w:rPr>
            </w:pPr>
            <w:r>
              <w:rPr>
                <w:rFonts w:ascii="Arial" w:cs="Arial" w:eastAsia="Arial" w:hAnsi="Arial"/>
                <w:sz w:val="16"/>
                <w:szCs w:val="16"/>
                <w:color w:val="auto"/>
              </w:rPr>
              <w:t>Less: Benefit (provision) for income taxes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(143)</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(216)</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(267)</w:t>
            </w:r>
          </w:p>
        </w:tc>
        <w:tc>
          <w:tcPr>
            <w:tcW w:w="940" w:type="dxa"/>
            <w:vAlign w:val="bottom"/>
          </w:tcPr>
          <w:p>
            <w:pPr>
              <w:spacing w:after="0"/>
              <w:rPr>
                <w:sz w:val="19"/>
                <w:szCs w:val="19"/>
                <w:color w:val="auto"/>
              </w:rPr>
            </w:pPr>
          </w:p>
        </w:tc>
      </w:tr>
      <w:tr>
        <w:trPr>
          <w:trHeight w:val="29"/>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220" w:type="dxa"/>
            <w:vAlign w:val="bottom"/>
            <w:tcBorders>
              <w:bottom w:val="single" w:sz="8" w:color="E4E4E4"/>
            </w:tcBorders>
            <w:shd w:val="clear" w:color="auto" w:fill="E4E4E4"/>
          </w:tcPr>
          <w:p>
            <w:pPr>
              <w:spacing w:after="0"/>
              <w:rPr>
                <w:sz w:val="22"/>
                <w:szCs w:val="22"/>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E4E4E4"/>
            </w:tcBorders>
            <w:shd w:val="clear" w:color="auto" w:fill="E4E4E4"/>
          </w:tcPr>
          <w:p>
            <w:pPr>
              <w:spacing w:after="0"/>
              <w:rPr>
                <w:sz w:val="22"/>
                <w:szCs w:val="22"/>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94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240" w:type="dxa"/>
            <w:vAlign w:val="bottom"/>
            <w:tcBorders>
              <w:bottom w:val="single" w:sz="8" w:color="E4E4E4"/>
            </w:tcBorders>
            <w:shd w:val="clear" w:color="auto" w:fill="E4E4E4"/>
          </w:tcPr>
          <w:p>
            <w:pPr>
              <w:spacing w:after="0"/>
              <w:rPr>
                <w:sz w:val="22"/>
                <w:szCs w:val="22"/>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940" w:type="dxa"/>
            <w:vAlign w:val="bottom"/>
            <w:tcBorders>
              <w:bottom w:val="single" w:sz="8" w:color="E4E4E4"/>
            </w:tcBorders>
            <w:shd w:val="clear" w:color="auto" w:fill="E4E4E4"/>
          </w:tcPr>
          <w:p>
            <w:pPr>
              <w:spacing w:after="0"/>
              <w:rPr>
                <w:sz w:val="22"/>
                <w:szCs w:val="22"/>
                <w:color w:val="auto"/>
              </w:rPr>
            </w:pPr>
          </w:p>
        </w:tc>
      </w:tr>
      <w:tr>
        <w:trPr>
          <w:trHeight w:val="229"/>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EBIT*</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653</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608</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1,380</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1,140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0"/>
        </w:trPr>
        <w:tc>
          <w:tcPr>
            <w:tcW w:w="5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20" w:type="dxa"/>
            <w:vAlign w:val="bottom"/>
            <w:shd w:val="clear" w:color="auto" w:fill="E4E4E4"/>
          </w:tcPr>
          <w:p>
            <w:pPr>
              <w:spacing w:after="0"/>
              <w:rPr>
                <w:sz w:val="21"/>
                <w:szCs w:val="21"/>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E4E4E4"/>
          </w:tcPr>
          <w:p>
            <w:pPr>
              <w:spacing w:after="0"/>
              <w:rPr>
                <w:sz w:val="21"/>
                <w:szCs w:val="21"/>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94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240" w:type="dxa"/>
            <w:vAlign w:val="bottom"/>
            <w:shd w:val="clear" w:color="auto" w:fill="E4E4E4"/>
          </w:tcPr>
          <w:p>
            <w:pPr>
              <w:spacing w:after="0"/>
              <w:rPr>
                <w:sz w:val="21"/>
                <w:szCs w:val="21"/>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68</w:t>
            </w:r>
          </w:p>
        </w:tc>
        <w:tc>
          <w:tcPr>
            <w:tcW w:w="940" w:type="dxa"/>
            <w:vAlign w:val="bottom"/>
            <w:shd w:val="clear" w:color="auto" w:fill="E4E4E4"/>
          </w:tcPr>
          <w:p>
            <w:pPr>
              <w:spacing w:after="0"/>
              <w:rPr>
                <w:sz w:val="21"/>
                <w:szCs w:val="21"/>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940" w:type="dxa"/>
            <w:vAlign w:val="bottom"/>
          </w:tcPr>
          <w:p>
            <w:pPr>
              <w:spacing w:after="0"/>
              <w:rPr>
                <w:sz w:val="22"/>
                <w:szCs w:val="22"/>
                <w:color w:val="auto"/>
              </w:rPr>
            </w:pPr>
          </w:p>
        </w:tc>
      </w:tr>
      <w:tr>
        <w:trPr>
          <w:trHeight w:val="256"/>
        </w:trPr>
        <w:tc>
          <w:tcPr>
            <w:tcW w:w="5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20" w:type="dxa"/>
            <w:vAlign w:val="bottom"/>
            <w:shd w:val="clear" w:color="auto" w:fill="E4E4E4"/>
          </w:tcPr>
          <w:p>
            <w:pPr>
              <w:spacing w:after="0"/>
              <w:rPr>
                <w:sz w:val="22"/>
                <w:szCs w:val="22"/>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E4E4E4"/>
          </w:tcPr>
          <w:p>
            <w:pPr>
              <w:spacing w:after="0"/>
              <w:rPr>
                <w:sz w:val="22"/>
                <w:szCs w:val="22"/>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67</w:t>
            </w:r>
          </w:p>
        </w:tc>
        <w:tc>
          <w:tcPr>
            <w:tcW w:w="94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E4E4E4"/>
          </w:tcPr>
          <w:p>
            <w:pPr>
              <w:spacing w:after="0"/>
              <w:rPr>
                <w:sz w:val="22"/>
                <w:szCs w:val="22"/>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126</w:t>
            </w:r>
          </w:p>
        </w:tc>
        <w:tc>
          <w:tcPr>
            <w:tcW w:w="940" w:type="dxa"/>
            <w:vAlign w:val="bottom"/>
            <w:shd w:val="clear" w:color="auto" w:fill="E4E4E4"/>
          </w:tcPr>
          <w:p>
            <w:pPr>
              <w:spacing w:after="0"/>
              <w:rPr>
                <w:sz w:val="22"/>
                <w:szCs w:val="22"/>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2"/>
                <w:szCs w:val="22"/>
                <w:color w:val="auto"/>
              </w:rPr>
            </w:pPr>
          </w:p>
        </w:tc>
      </w:tr>
      <w:tr>
        <w:trPr>
          <w:trHeight w:val="237"/>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Amortization of acquisition-related intangible assets</w:t>
            </w:r>
          </w:p>
        </w:tc>
        <w:tc>
          <w:tcPr>
            <w:tcW w:w="22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c>
          <w:tcPr>
            <w:tcW w:w="94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75</w:t>
            </w:r>
          </w:p>
        </w:tc>
        <w:tc>
          <w:tcPr>
            <w:tcW w:w="24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w:t>
            </w:r>
          </w:p>
        </w:tc>
        <w:tc>
          <w:tcPr>
            <w:tcW w:w="940" w:type="dxa"/>
            <w:vAlign w:val="bottom"/>
            <w:tcBorders>
              <w:bottom w:val="single" w:sz="8" w:color="E4E4E4"/>
            </w:tcBorders>
            <w:shd w:val="clear" w:color="auto" w:fill="E4E4E4"/>
          </w:tcPr>
          <w:p>
            <w:pPr>
              <w:spacing w:after="0"/>
              <w:rPr>
                <w:sz w:val="20"/>
                <w:szCs w:val="20"/>
                <w:color w:val="auto"/>
              </w:rPr>
            </w:pPr>
          </w:p>
        </w:tc>
      </w:tr>
      <w:tr>
        <w:trPr>
          <w:trHeight w:val="257"/>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940" w:type="dxa"/>
            <w:vAlign w:val="bottom"/>
            <w:tcBorders>
              <w:bottom w:val="single" w:sz="8" w:color="auto"/>
            </w:tcBorders>
          </w:tcPr>
          <w:p>
            <w:pPr>
              <w:spacing w:after="0"/>
              <w:rPr>
                <w:sz w:val="22"/>
                <w:szCs w:val="22"/>
                <w:color w:val="auto"/>
              </w:rPr>
            </w:pPr>
          </w:p>
        </w:tc>
      </w:tr>
      <w:tr>
        <w:trPr>
          <w:trHeight w:val="230"/>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Adjusted EBIT*</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729</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742</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1,443</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1,423</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35"/>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Net income margin</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9.7%</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8.9%</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80 bps</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8.5%</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230 bps</w:t>
            </w:r>
          </w:p>
        </w:tc>
      </w:tr>
      <w:tr>
        <w:trPr>
          <w:trHeight w:val="21"/>
        </w:trPr>
        <w:tc>
          <w:tcPr>
            <w:tcW w:w="5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5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Adjusted EBIT margin*</w:t>
            </w:r>
          </w:p>
        </w:tc>
        <w:tc>
          <w:tcPr>
            <w:tcW w:w="22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14.6%</w:t>
            </w:r>
          </w:p>
        </w:tc>
        <w:tc>
          <w:tcPr>
            <w:tcW w:w="22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15.3%</w:t>
            </w:r>
          </w:p>
        </w:tc>
        <w:tc>
          <w:tcPr>
            <w:tcW w:w="1060" w:type="dxa"/>
            <w:vAlign w:val="bottom"/>
            <w:tcBorders>
              <w:bottom w:val="single" w:sz="8" w:color="E4E4E4"/>
            </w:tcBorders>
            <w:gridSpan w:val="2"/>
            <w:shd w:val="clear" w:color="auto" w:fill="E4E4E4"/>
          </w:tcPr>
          <w:p>
            <w:pPr>
              <w:jc w:val="right"/>
              <w:ind w:right="180"/>
              <w:spacing w:after="0"/>
              <w:rPr>
                <w:sz w:val="20"/>
                <w:szCs w:val="20"/>
                <w:color w:val="auto"/>
              </w:rPr>
            </w:pPr>
            <w:r>
              <w:rPr>
                <w:rFonts w:ascii="Arial" w:cs="Arial" w:eastAsia="Arial" w:hAnsi="Arial"/>
                <w:sz w:val="16"/>
                <w:szCs w:val="16"/>
                <w:b w:val="1"/>
                <w:bCs w:val="1"/>
                <w:color w:val="auto"/>
              </w:rPr>
              <w:t>(80) bps</w:t>
            </w:r>
          </w:p>
        </w:tc>
        <w:tc>
          <w:tcPr>
            <w:tcW w:w="12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14.8%</w:t>
            </w:r>
          </w:p>
        </w:tc>
        <w:tc>
          <w:tcPr>
            <w:tcW w:w="240" w:type="dxa"/>
            <w:vAlign w:val="bottom"/>
            <w:tcBorders>
              <w:bottom w:val="single" w:sz="8" w:color="E4E4E4"/>
            </w:tcBorders>
            <w:shd w:val="clear" w:color="auto" w:fill="E4E4E4"/>
          </w:tcPr>
          <w:p>
            <w:pPr>
              <w:spacing w:after="0"/>
              <w:rPr>
                <w:sz w:val="20"/>
                <w:szCs w:val="20"/>
                <w:color w:val="auto"/>
              </w:rPr>
            </w:pP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15.0%</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 bps</w:t>
            </w:r>
          </w:p>
        </w:tc>
      </w:tr>
      <w:tr>
        <w:trPr>
          <w:trHeight w:val="20"/>
        </w:trPr>
        <w:tc>
          <w:tcPr>
            <w:tcW w:w="5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45" w:lineRule="exact"/>
        <w:rPr>
          <w:rFonts w:ascii="Arial" w:cs="Arial" w:eastAsia="Arial" w:hAnsi="Arial"/>
          <w:sz w:val="16"/>
          <w:szCs w:val="16"/>
          <w:color w:val="auto"/>
        </w:rPr>
      </w:pPr>
    </w:p>
    <w:p>
      <w:pPr>
        <w:ind w:left="440" w:right="520" w:hanging="414"/>
        <w:spacing w:after="0" w:line="281"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1"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72" w:lineRule="exact"/>
        <w:rPr>
          <w:rFonts w:ascii="Arial" w:cs="Arial" w:eastAsia="Arial" w:hAnsi="Arial"/>
          <w:sz w:val="16"/>
          <w:szCs w:val="16"/>
          <w:color w:val="auto"/>
        </w:rPr>
      </w:pPr>
    </w:p>
    <w:p>
      <w:pPr>
        <w:ind w:left="440" w:right="60" w:hanging="414"/>
        <w:spacing w:after="0" w:line="286"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six months ended June 30, 2025, includes the impact from the revaluation of our existing 50% interest in NMP as part of the acquisition transaction.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2980" w:type="dxa"/>
            <w:vAlign w:val="bottom"/>
            <w:gridSpan w:val="6"/>
          </w:tcPr>
          <w:p>
            <w:pPr>
              <w:ind w:left="40"/>
              <w:spacing w:after="0"/>
              <w:rPr>
                <w:sz w:val="20"/>
                <w:szCs w:val="20"/>
                <w:color w:val="auto"/>
              </w:rPr>
            </w:pPr>
            <w:r>
              <w:rPr>
                <w:rFonts w:ascii="Arial" w:cs="Arial" w:eastAsia="Arial" w:hAnsi="Arial"/>
                <w:sz w:val="16"/>
                <w:szCs w:val="16"/>
                <w:b w:val="1"/>
                <w:bCs w:val="1"/>
                <w:color w:val="454545"/>
              </w:rPr>
              <w:t>For the three months ended June 30</w:t>
            </w:r>
          </w:p>
        </w:tc>
        <w:tc>
          <w:tcPr>
            <w:tcW w:w="120" w:type="dxa"/>
            <w:vAlign w:val="bottom"/>
          </w:tcPr>
          <w:p>
            <w:pPr>
              <w:spacing w:after="0"/>
              <w:rPr>
                <w:sz w:val="22"/>
                <w:szCs w:val="22"/>
                <w:color w:val="auto"/>
              </w:rPr>
            </w:pPr>
          </w:p>
        </w:tc>
        <w:tc>
          <w:tcPr>
            <w:tcW w:w="27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536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9"/>
        </w:trPr>
        <w:tc>
          <w:tcPr>
            <w:tcW w:w="5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2025</w:t>
            </w:r>
          </w:p>
        </w:tc>
        <w:tc>
          <w:tcPr>
            <w:tcW w:w="22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2024</w:t>
            </w: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454545"/>
              </w:rPr>
              <w:t>% change</w:t>
            </w:r>
          </w:p>
        </w:tc>
        <w:tc>
          <w:tcPr>
            <w:tcW w:w="120" w:type="dxa"/>
            <w:vAlign w:val="bottom"/>
          </w:tcPr>
          <w:p>
            <w:pPr>
              <w:spacing w:after="0"/>
              <w:rPr>
                <w:sz w:val="19"/>
                <w:szCs w:val="19"/>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2025</w:t>
            </w:r>
          </w:p>
        </w:tc>
        <w:tc>
          <w:tcPr>
            <w:tcW w:w="22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2024</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536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78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r>
      <w:tr>
        <w:trPr>
          <w:trHeight w:val="271"/>
        </w:trPr>
        <w:tc>
          <w:tcPr>
            <w:tcW w:w="53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Net income attributable to GE HealthCare</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486</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428</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w:t>
            </w:r>
          </w:p>
        </w:tc>
        <w:tc>
          <w:tcPr>
            <w:tcW w:w="120" w:type="dxa"/>
            <w:vAlign w:val="bottom"/>
            <w:tcBorders>
              <w:bottom w:val="single" w:sz="8" w:color="E4E4E4"/>
            </w:tcBorders>
            <w:shd w:val="clear" w:color="auto" w:fill="E4E4E4"/>
          </w:tcPr>
          <w:p>
            <w:pPr>
              <w:spacing w:after="0"/>
              <w:rPr>
                <w:sz w:val="23"/>
                <w:szCs w:val="23"/>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1,049</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802</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w:t>
            </w:r>
          </w:p>
        </w:tc>
      </w:tr>
      <w:tr>
        <w:trPr>
          <w:trHeight w:val="268"/>
        </w:trPr>
        <w:tc>
          <w:tcPr>
            <w:tcW w:w="5360" w:type="dxa"/>
            <w:vAlign w:val="bottom"/>
          </w:tcPr>
          <w:p>
            <w:pPr>
              <w:ind w:left="80"/>
              <w:spacing w:after="0"/>
              <w:rPr>
                <w:sz w:val="20"/>
                <w:szCs w:val="20"/>
                <w:color w:val="auto"/>
              </w:rPr>
            </w:pPr>
            <w:r>
              <w:rPr>
                <w:rFonts w:ascii="Arial" w:cs="Arial" w:eastAsia="Arial" w:hAnsi="Arial"/>
                <w:sz w:val="16"/>
                <w:szCs w:val="16"/>
                <w:color w:val="auto"/>
              </w:rPr>
              <w:t>Add: Non-operating benefit (income) costs</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(204)</w:t>
            </w:r>
          </w:p>
        </w:tc>
        <w:tc>
          <w:tcPr>
            <w:tcW w:w="920" w:type="dxa"/>
            <w:vAlign w:val="bottom"/>
          </w:tcPr>
          <w:p>
            <w:pPr>
              <w:spacing w:after="0"/>
              <w:rPr>
                <w:sz w:val="23"/>
                <w:szCs w:val="23"/>
                <w:color w:val="auto"/>
              </w:rPr>
            </w:pPr>
          </w:p>
        </w:tc>
      </w:tr>
      <w:tr>
        <w:trPr>
          <w:trHeight w:val="29"/>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7"/>
        </w:trPr>
        <w:tc>
          <w:tcPr>
            <w:tcW w:w="536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29</w:t>
            </w:r>
          </w:p>
        </w:tc>
        <w:tc>
          <w:tcPr>
            <w:tcW w:w="92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220" w:type="dxa"/>
            <w:vAlign w:val="bottom"/>
            <w:shd w:val="clear" w:color="auto" w:fill="E4E4E4"/>
          </w:tcPr>
          <w:p>
            <w:pPr>
              <w:spacing w:after="0"/>
              <w:rPr>
                <w:sz w:val="24"/>
                <w:szCs w:val="24"/>
                <w:color w:val="auto"/>
              </w:rPr>
            </w:pPr>
          </w:p>
        </w:tc>
        <w:tc>
          <w:tcPr>
            <w:tcW w:w="80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68</w:t>
            </w:r>
          </w:p>
        </w:tc>
        <w:tc>
          <w:tcPr>
            <w:tcW w:w="920" w:type="dxa"/>
            <w:vAlign w:val="bottom"/>
            <w:shd w:val="clear" w:color="auto" w:fill="E4E4E4"/>
          </w:tcPr>
          <w:p>
            <w:pPr>
              <w:spacing w:after="0"/>
              <w:rPr>
                <w:sz w:val="24"/>
                <w:szCs w:val="24"/>
                <w:color w:val="auto"/>
              </w:rPr>
            </w:pPr>
          </w:p>
        </w:tc>
      </w:tr>
      <w:tr>
        <w:trPr>
          <w:trHeight w:val="297"/>
        </w:trPr>
        <w:tc>
          <w:tcPr>
            <w:tcW w:w="5360" w:type="dxa"/>
            <w:vAlign w:val="bottom"/>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920" w:type="dxa"/>
            <w:vAlign w:val="bottom"/>
          </w:tcPr>
          <w:p>
            <w:pPr>
              <w:spacing w:after="0"/>
              <w:rPr>
                <w:sz w:val="24"/>
                <w:szCs w:val="24"/>
                <w:color w:val="auto"/>
              </w:rPr>
            </w:pPr>
          </w:p>
        </w:tc>
      </w:tr>
      <w:tr>
        <w:trPr>
          <w:trHeight w:val="297"/>
        </w:trPr>
        <w:tc>
          <w:tcPr>
            <w:tcW w:w="536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E4E4E4"/>
          </w:tcPr>
          <w:p>
            <w:pPr>
              <w:spacing w:after="0"/>
              <w:rPr>
                <w:sz w:val="24"/>
                <w:szCs w:val="24"/>
                <w:color w:val="auto"/>
              </w:rPr>
            </w:pPr>
          </w:p>
        </w:tc>
        <w:tc>
          <w:tcPr>
            <w:tcW w:w="78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67</w:t>
            </w:r>
          </w:p>
        </w:tc>
        <w:tc>
          <w:tcPr>
            <w:tcW w:w="92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34</w:t>
            </w:r>
          </w:p>
        </w:tc>
        <w:tc>
          <w:tcPr>
            <w:tcW w:w="220" w:type="dxa"/>
            <w:vAlign w:val="bottom"/>
            <w:shd w:val="clear" w:color="auto" w:fill="E4E4E4"/>
          </w:tcPr>
          <w:p>
            <w:pPr>
              <w:spacing w:after="0"/>
              <w:rPr>
                <w:sz w:val="24"/>
                <w:szCs w:val="24"/>
                <w:color w:val="auto"/>
              </w:rPr>
            </w:pPr>
          </w:p>
        </w:tc>
        <w:tc>
          <w:tcPr>
            <w:tcW w:w="800" w:type="dxa"/>
            <w:vAlign w:val="bottom"/>
            <w:shd w:val="clear" w:color="auto" w:fill="E4E4E4"/>
          </w:tcPr>
          <w:p>
            <w:pPr>
              <w:jc w:val="right"/>
              <w:ind w:right="19"/>
              <w:spacing w:after="0"/>
              <w:rPr>
                <w:sz w:val="20"/>
                <w:szCs w:val="20"/>
                <w:color w:val="auto"/>
              </w:rPr>
            </w:pPr>
            <w:r>
              <w:rPr>
                <w:rFonts w:ascii="Arial" w:cs="Arial" w:eastAsia="Arial" w:hAnsi="Arial"/>
                <w:sz w:val="16"/>
                <w:szCs w:val="16"/>
                <w:color w:val="auto"/>
              </w:rPr>
              <w:t>126</w:t>
            </w:r>
          </w:p>
        </w:tc>
        <w:tc>
          <w:tcPr>
            <w:tcW w:w="920" w:type="dxa"/>
            <w:vAlign w:val="bottom"/>
            <w:shd w:val="clear" w:color="auto" w:fill="E4E4E4"/>
          </w:tcPr>
          <w:p>
            <w:pPr>
              <w:spacing w:after="0"/>
              <w:rPr>
                <w:sz w:val="24"/>
                <w:szCs w:val="24"/>
                <w:color w:val="auto"/>
              </w:rPr>
            </w:pPr>
          </w:p>
        </w:tc>
      </w:tr>
      <w:tr>
        <w:trPr>
          <w:trHeight w:val="297"/>
        </w:trPr>
        <w:tc>
          <w:tcPr>
            <w:tcW w:w="5360" w:type="dxa"/>
            <w:vAlign w:val="bottom"/>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4"/>
                <w:szCs w:val="24"/>
                <w:color w:val="auto"/>
              </w:rPr>
            </w:pPr>
          </w:p>
        </w:tc>
      </w:tr>
      <w:tr>
        <w:trPr>
          <w:trHeight w:val="277"/>
        </w:trPr>
        <w:tc>
          <w:tcPr>
            <w:tcW w:w="53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20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220" w:type="dxa"/>
            <w:vAlign w:val="bottom"/>
            <w:tcBorders>
              <w:bottom w:val="single" w:sz="8" w:color="E4E4E4"/>
            </w:tcBorders>
            <w:shd w:val="clear" w:color="auto" w:fill="E4E4E4"/>
          </w:tcPr>
          <w:p>
            <w:pPr>
              <w:spacing w:after="0"/>
              <w:rPr>
                <w:sz w:val="24"/>
                <w:szCs w:val="24"/>
                <w:color w:val="auto"/>
              </w:rPr>
            </w:pPr>
          </w:p>
        </w:tc>
        <w:tc>
          <w:tcPr>
            <w:tcW w:w="7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35</w:t>
            </w:r>
          </w:p>
        </w:tc>
        <w:tc>
          <w:tcPr>
            <w:tcW w:w="92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75</w:t>
            </w:r>
          </w:p>
        </w:tc>
        <w:tc>
          <w:tcPr>
            <w:tcW w:w="22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66</w:t>
            </w:r>
          </w:p>
        </w:tc>
        <w:tc>
          <w:tcPr>
            <w:tcW w:w="920" w:type="dxa"/>
            <w:vAlign w:val="bottom"/>
            <w:tcBorders>
              <w:bottom w:val="single" w:sz="8" w:color="E4E4E4"/>
            </w:tcBorders>
            <w:shd w:val="clear" w:color="auto" w:fill="E4E4E4"/>
          </w:tcPr>
          <w:p>
            <w:pPr>
              <w:spacing w:after="0"/>
              <w:rPr>
                <w:sz w:val="24"/>
                <w:szCs w:val="24"/>
                <w:color w:val="auto"/>
              </w:rPr>
            </w:pPr>
          </w:p>
        </w:tc>
      </w:tr>
      <w:tr>
        <w:trPr>
          <w:trHeight w:val="297"/>
        </w:trPr>
        <w:tc>
          <w:tcPr>
            <w:tcW w:w="5360" w:type="dxa"/>
            <w:vAlign w:val="bottom"/>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920" w:type="dxa"/>
            <w:vAlign w:val="bottom"/>
          </w:tcPr>
          <w:p>
            <w:pPr>
              <w:spacing w:after="0"/>
              <w:rPr>
                <w:sz w:val="24"/>
                <w:szCs w:val="24"/>
                <w:color w:val="auto"/>
              </w:rPr>
            </w:pPr>
          </w:p>
        </w:tc>
      </w:tr>
      <w:tr>
        <w:trPr>
          <w:trHeight w:val="256"/>
        </w:trPr>
        <w:tc>
          <w:tcPr>
            <w:tcW w:w="536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(6)</w:t>
            </w:r>
          </w:p>
        </w:tc>
        <w:tc>
          <w:tcPr>
            <w:tcW w:w="200" w:type="dxa"/>
            <w:vAlign w:val="bottom"/>
            <w:shd w:val="clear" w:color="auto" w:fill="E4E4E4"/>
          </w:tcPr>
          <w:p>
            <w:pPr>
              <w:spacing w:after="0"/>
              <w:rPr>
                <w:sz w:val="22"/>
                <w:szCs w:val="22"/>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E4E4E4"/>
          </w:tcPr>
          <w:p>
            <w:pPr>
              <w:spacing w:after="0"/>
              <w:rPr>
                <w:sz w:val="22"/>
                <w:szCs w:val="22"/>
                <w:color w:val="auto"/>
              </w:rPr>
            </w:pPr>
          </w:p>
        </w:tc>
        <w:tc>
          <w:tcPr>
            <w:tcW w:w="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92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E4E4E4"/>
          </w:tcPr>
          <w:p>
            <w:pPr>
              <w:spacing w:after="0"/>
              <w:rPr>
                <w:sz w:val="22"/>
                <w:szCs w:val="22"/>
                <w:color w:val="auto"/>
              </w:rPr>
            </w:pPr>
          </w:p>
        </w:tc>
        <w:tc>
          <w:tcPr>
            <w:tcW w:w="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(24)</w:t>
            </w:r>
          </w:p>
        </w:tc>
        <w:tc>
          <w:tcPr>
            <w:tcW w:w="920" w:type="dxa"/>
            <w:vAlign w:val="bottom"/>
            <w:shd w:val="clear" w:color="auto" w:fill="E4E4E4"/>
          </w:tcPr>
          <w:p>
            <w:pPr>
              <w:spacing w:after="0"/>
              <w:rPr>
                <w:sz w:val="22"/>
                <w:szCs w:val="22"/>
                <w:color w:val="auto"/>
              </w:rPr>
            </w:pPr>
          </w:p>
        </w:tc>
      </w:tr>
      <w:tr>
        <w:trPr>
          <w:trHeight w:val="297"/>
        </w:trPr>
        <w:tc>
          <w:tcPr>
            <w:tcW w:w="53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(7)</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920" w:type="dxa"/>
            <w:vAlign w:val="bottom"/>
            <w:tcBorders>
              <w:bottom w:val="single" w:sz="8" w:color="auto"/>
            </w:tcBorders>
          </w:tcPr>
          <w:p>
            <w:pPr>
              <w:spacing w:after="0"/>
              <w:rPr>
                <w:sz w:val="24"/>
                <w:szCs w:val="24"/>
                <w:color w:val="auto"/>
              </w:rPr>
            </w:pPr>
          </w:p>
        </w:tc>
      </w:tr>
      <w:tr>
        <w:trPr>
          <w:trHeight w:val="270"/>
        </w:trPr>
        <w:tc>
          <w:tcPr>
            <w:tcW w:w="53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Adjusted net income*</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487</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459</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E4E4E4"/>
            </w:tcBorders>
            <w:shd w:val="clear" w:color="auto" w:fill="E4E4E4"/>
          </w:tcPr>
          <w:p>
            <w:pPr>
              <w:spacing w:after="0"/>
              <w:rPr>
                <w:sz w:val="23"/>
                <w:szCs w:val="23"/>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951</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872</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r>
      <w:tr>
        <w:trPr>
          <w:trHeight w:val="20"/>
        </w:trPr>
        <w:tc>
          <w:tcPr>
            <w:tcW w:w="5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45" w:lineRule="exact"/>
        <w:rPr>
          <w:rFonts w:ascii="Arial" w:cs="Arial" w:eastAsia="Arial" w:hAnsi="Arial"/>
          <w:sz w:val="16"/>
          <w:szCs w:val="16"/>
          <w:color w:val="auto"/>
        </w:rPr>
      </w:pPr>
    </w:p>
    <w:p>
      <w:pPr>
        <w:ind w:left="440" w:right="520" w:hanging="414"/>
        <w:spacing w:after="0" w:line="281"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1" w:lineRule="exact"/>
        <w:rPr>
          <w:rFonts w:ascii="Arial" w:cs="Arial" w:eastAsia="Arial" w:hAnsi="Arial"/>
          <w:sz w:val="16"/>
          <w:szCs w:val="16"/>
          <w:color w:val="auto"/>
        </w:rPr>
      </w:pPr>
    </w:p>
    <w:p>
      <w:pPr>
        <w:jc w:val="both"/>
        <w:ind w:left="440" w:right="180" w:hanging="414"/>
        <w:spacing w:after="0" w:line="266"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 An adjustment is included to eliminate the associated impact on Net (income) loss attributable to noncontrolling interests for applicable costs that impact earnings attributable to noncontrolling interests.</w:t>
      </w:r>
    </w:p>
    <w:p>
      <w:pPr>
        <w:spacing w:after="0" w:line="9" w:lineRule="exact"/>
        <w:rPr>
          <w:rFonts w:ascii="Arial" w:cs="Arial" w:eastAsia="Arial" w:hAnsi="Arial"/>
          <w:sz w:val="16"/>
          <w:szCs w:val="16"/>
          <w:color w:val="auto"/>
        </w:rPr>
      </w:pPr>
    </w:p>
    <w:p>
      <w:pPr>
        <w:ind w:left="440" w:hanging="414"/>
        <w:spacing w:after="0"/>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72" w:lineRule="exact"/>
        <w:rPr>
          <w:rFonts w:ascii="Arial" w:cs="Arial" w:eastAsia="Arial" w:hAnsi="Arial"/>
          <w:sz w:val="16"/>
          <w:szCs w:val="16"/>
          <w:color w:val="auto"/>
        </w:rPr>
      </w:pPr>
    </w:p>
    <w:p>
      <w:pPr>
        <w:ind w:left="440" w:right="60" w:hanging="414"/>
        <w:spacing w:after="0" w:line="281"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six months ended June 30, 2025, includes the impact from the revaluation of our existing 50% interest in NMP as part of the acquisition transaction.</w:t>
      </w:r>
    </w:p>
    <w:p>
      <w:pPr>
        <w:spacing w:after="0" w:line="1" w:lineRule="exact"/>
        <w:rPr>
          <w:rFonts w:ascii="Arial" w:cs="Arial" w:eastAsia="Arial" w:hAnsi="Arial"/>
          <w:sz w:val="16"/>
          <w:szCs w:val="16"/>
          <w:color w:val="auto"/>
        </w:rPr>
      </w:pPr>
    </w:p>
    <w:p>
      <w:pPr>
        <w:ind w:left="440" w:right="320" w:hanging="414"/>
        <w:spacing w:after="0" w:line="286"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spacing w:after="0" w:line="7" w:lineRule="exact"/>
        <w:rPr>
          <w:rFonts w:ascii="Arial" w:cs="Arial" w:eastAsia="Arial" w:hAnsi="Arial"/>
          <w:sz w:val="16"/>
          <w:szCs w:val="16"/>
          <w:color w:val="auto"/>
        </w:rPr>
      </w:pPr>
    </w:p>
    <w:p>
      <w:pPr>
        <w:ind w:left="440" w:right="60" w:hanging="414"/>
        <w:spacing w:after="0" w:line="265"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release of income tax reserves in a foreign jurisdiction for tax years which are no longer subject to an assessment from the local taxing authorities, discrete tax impacts resulting from the Spin-Off and separation from GE, and tax impacts of the NMP acquisition. As of the third quarter of 2024 this line additionally includes discrete tax impacts resulting from the Spin-Off and separation from GE previously reported under Tax effect of reconciling items.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3000" w:type="dxa"/>
            <w:vAlign w:val="bottom"/>
            <w:gridSpan w:val="7"/>
          </w:tcPr>
          <w:p>
            <w:pPr>
              <w:ind w:left="40"/>
              <w:spacing w:after="0"/>
              <w:rPr>
                <w:sz w:val="20"/>
                <w:szCs w:val="20"/>
                <w:color w:val="auto"/>
              </w:rPr>
            </w:pPr>
            <w:r>
              <w:rPr>
                <w:rFonts w:ascii="Arial" w:cs="Arial" w:eastAsia="Arial" w:hAnsi="Arial"/>
                <w:sz w:val="16"/>
                <w:szCs w:val="16"/>
                <w:b w:val="1"/>
                <w:bCs w:val="1"/>
                <w:color w:val="454545"/>
              </w:rPr>
              <w:t>For the three months ended June 30</w:t>
            </w:r>
          </w:p>
        </w:tc>
        <w:tc>
          <w:tcPr>
            <w:tcW w:w="120" w:type="dxa"/>
            <w:vAlign w:val="bottom"/>
          </w:tcPr>
          <w:p>
            <w:pPr>
              <w:spacing w:after="0"/>
              <w:rPr>
                <w:sz w:val="22"/>
                <w:szCs w:val="22"/>
                <w:color w:val="auto"/>
              </w:rPr>
            </w:pPr>
          </w:p>
        </w:tc>
        <w:tc>
          <w:tcPr>
            <w:tcW w:w="2780" w:type="dxa"/>
            <w:vAlign w:val="bottom"/>
            <w:gridSpan w:val="5"/>
          </w:tcPr>
          <w:p>
            <w:pPr>
              <w:jc w:val="right"/>
              <w:ind w:right="59"/>
              <w:spacing w:after="0"/>
              <w:rPr>
                <w:sz w:val="20"/>
                <w:szCs w:val="20"/>
                <w:color w:val="auto"/>
              </w:rPr>
            </w:pPr>
            <w:r>
              <w:rPr>
                <w:rFonts w:ascii="Arial" w:cs="Arial" w:eastAsia="Arial" w:hAnsi="Arial"/>
                <w:sz w:val="16"/>
                <w:szCs w:val="16"/>
                <w:b w:val="1"/>
                <w:bCs w:val="1"/>
                <w:color w:val="454545"/>
              </w:rPr>
              <w:t>For the six months ended June 30</w:t>
            </w:r>
          </w:p>
        </w:tc>
        <w:tc>
          <w:tcPr>
            <w:tcW w:w="0" w:type="dxa"/>
            <w:vAlign w:val="bottom"/>
          </w:tcPr>
          <w:p>
            <w:pPr>
              <w:spacing w:after="0"/>
              <w:rPr>
                <w:sz w:val="1"/>
                <w:szCs w:val="1"/>
                <w:color w:val="auto"/>
              </w:rPr>
            </w:pPr>
          </w:p>
        </w:tc>
      </w:tr>
      <w:tr>
        <w:trPr>
          <w:trHeight w:val="21"/>
        </w:trPr>
        <w:tc>
          <w:tcPr>
            <w:tcW w:w="53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dollars, except shares outstanding presented in millions)</w:t>
            </w:r>
          </w:p>
        </w:tc>
        <w:tc>
          <w:tcPr>
            <w:tcW w:w="20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3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2025</w:t>
            </w:r>
          </w:p>
        </w:tc>
        <w:tc>
          <w:tcPr>
            <w:tcW w:w="20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2024</w:t>
            </w:r>
          </w:p>
        </w:tc>
        <w:tc>
          <w:tcPr>
            <w:tcW w:w="12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454545"/>
              </w:rPr>
              <w:t>$ change</w:t>
            </w:r>
          </w:p>
        </w:tc>
        <w:tc>
          <w:tcPr>
            <w:tcW w:w="120" w:type="dxa"/>
            <w:vAlign w:val="bottom"/>
          </w:tcPr>
          <w:p>
            <w:pPr>
              <w:spacing w:after="0"/>
              <w:rPr>
                <w:sz w:val="19"/>
                <w:szCs w:val="19"/>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2025</w:t>
            </w:r>
          </w:p>
        </w:tc>
        <w:tc>
          <w:tcPr>
            <w:tcW w:w="20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2024</w:t>
            </w:r>
          </w:p>
        </w:tc>
        <w:tc>
          <w:tcPr>
            <w:tcW w:w="14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1"/>
        </w:trPr>
        <w:tc>
          <w:tcPr>
            <w:tcW w:w="534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6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6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6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53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Diluted earnings per share</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1.06</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0.93</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0.13</w:t>
            </w:r>
          </w:p>
        </w:tc>
        <w:tc>
          <w:tcPr>
            <w:tcW w:w="120" w:type="dxa"/>
            <w:vAlign w:val="bottom"/>
            <w:tcBorders>
              <w:bottom w:val="single" w:sz="8" w:color="E4E4E4"/>
            </w:tcBorders>
            <w:shd w:val="clear" w:color="auto" w:fill="E4E4E4"/>
          </w:tcPr>
          <w:p>
            <w:pPr>
              <w:spacing w:after="0"/>
              <w:rPr>
                <w:sz w:val="23"/>
                <w:szCs w:val="23"/>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2.29</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1.75</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0.54</w:t>
            </w:r>
          </w:p>
        </w:tc>
        <w:tc>
          <w:tcPr>
            <w:tcW w:w="0" w:type="dxa"/>
            <w:vAlign w:val="bottom"/>
          </w:tcPr>
          <w:p>
            <w:pPr>
              <w:spacing w:after="0"/>
              <w:rPr>
                <w:sz w:val="1"/>
                <w:szCs w:val="1"/>
                <w:color w:val="auto"/>
              </w:rPr>
            </w:pPr>
          </w:p>
        </w:tc>
      </w:tr>
      <w:tr>
        <w:trPr>
          <w:trHeight w:val="241"/>
        </w:trPr>
        <w:tc>
          <w:tcPr>
            <w:tcW w:w="5340" w:type="dxa"/>
            <w:vAlign w:val="bottom"/>
          </w:tcPr>
          <w:p>
            <w:pPr>
              <w:ind w:left="80"/>
              <w:spacing w:after="0"/>
              <w:rPr>
                <w:sz w:val="20"/>
                <w:szCs w:val="20"/>
                <w:color w:val="auto"/>
              </w:rPr>
            </w:pPr>
            <w:r>
              <w:rPr>
                <w:rFonts w:ascii="Arial" w:cs="Arial" w:eastAsia="Arial" w:hAnsi="Arial"/>
                <w:sz w:val="16"/>
                <w:szCs w:val="16"/>
                <w:color w:val="auto"/>
              </w:rPr>
              <w:t>Add: Non-operating benefit (income) costs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(0.16)</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(0.32)</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(0.44)</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5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34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0.04</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0.09</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0.15</w:t>
            </w:r>
          </w:p>
        </w:tc>
        <w:tc>
          <w:tcPr>
            <w:tcW w:w="14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40" w:type="dxa"/>
            <w:vAlign w:val="bottom"/>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0.02</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0.03</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4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0.15</w:t>
            </w:r>
          </w:p>
        </w:tc>
        <w:tc>
          <w:tcPr>
            <w:tcW w:w="12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0.07</w:t>
            </w:r>
          </w:p>
        </w:tc>
        <w:tc>
          <w:tcPr>
            <w:tcW w:w="200" w:type="dxa"/>
            <w:vAlign w:val="bottom"/>
            <w:shd w:val="clear" w:color="auto" w:fill="E4E4E4"/>
          </w:tcPr>
          <w:p>
            <w:pPr>
              <w:spacing w:after="0"/>
              <w:rPr>
                <w:sz w:val="24"/>
                <w:szCs w:val="24"/>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0.28</w:t>
            </w:r>
          </w:p>
        </w:tc>
        <w:tc>
          <w:tcPr>
            <w:tcW w:w="140" w:type="dxa"/>
            <w:vAlign w:val="bottom"/>
            <w:shd w:val="clear" w:color="auto" w:fill="E4E4E4"/>
          </w:tcPr>
          <w:p>
            <w:pPr>
              <w:spacing w:after="0"/>
              <w:rPr>
                <w:sz w:val="24"/>
                <w:szCs w:val="24"/>
                <w:color w:val="auto"/>
              </w:rPr>
            </w:pPr>
          </w:p>
        </w:tc>
        <w:tc>
          <w:tcPr>
            <w:tcW w:w="84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40" w:type="dxa"/>
            <w:vAlign w:val="bottom"/>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3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0.09</w:t>
            </w: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0.16</w:t>
            </w:r>
          </w:p>
        </w:tc>
        <w:tc>
          <w:tcPr>
            <w:tcW w:w="200" w:type="dxa"/>
            <w:vAlign w:val="bottom"/>
            <w:tcBorders>
              <w:bottom w:val="single" w:sz="8" w:color="E4E4E4"/>
            </w:tcBorders>
            <w:shd w:val="clear" w:color="auto" w:fill="E4E4E4"/>
          </w:tcPr>
          <w:p>
            <w:pPr>
              <w:spacing w:after="0"/>
              <w:rPr>
                <w:sz w:val="24"/>
                <w:szCs w:val="24"/>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0.14</w:t>
            </w:r>
          </w:p>
        </w:tc>
        <w:tc>
          <w:tcPr>
            <w:tcW w:w="14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40" w:type="dxa"/>
            <w:vAlign w:val="bottom"/>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0.00</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(0.20)</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34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(6)</w:t>
            </w:r>
          </w:p>
        </w:tc>
        <w:tc>
          <w:tcPr>
            <w:tcW w:w="20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E4E4E4"/>
          </w:tcPr>
          <w:p>
            <w:pPr>
              <w:spacing w:after="0"/>
              <w:rPr>
                <w:sz w:val="22"/>
                <w:szCs w:val="22"/>
                <w:color w:val="auto"/>
              </w:rPr>
            </w:pPr>
          </w:p>
        </w:tc>
        <w:tc>
          <w:tcPr>
            <w:tcW w:w="84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E4E4E4"/>
          </w:tcPr>
          <w:p>
            <w:pPr>
              <w:spacing w:after="0"/>
              <w:rPr>
                <w:sz w:val="22"/>
                <w:szCs w:val="22"/>
                <w:color w:val="auto"/>
              </w:rPr>
            </w:pPr>
          </w:p>
        </w:tc>
        <w:tc>
          <w:tcPr>
            <w:tcW w:w="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(0.05)</w:t>
            </w:r>
          </w:p>
        </w:tc>
        <w:tc>
          <w:tcPr>
            <w:tcW w:w="140" w:type="dxa"/>
            <w:vAlign w:val="bottom"/>
            <w:shd w:val="clear" w:color="auto" w:fill="E4E4E4"/>
          </w:tcPr>
          <w:p>
            <w:pPr>
              <w:spacing w:after="0"/>
              <w:rPr>
                <w:sz w:val="22"/>
                <w:szCs w:val="22"/>
                <w:color w:val="auto"/>
              </w:rPr>
            </w:pPr>
          </w:p>
        </w:tc>
        <w:tc>
          <w:tcPr>
            <w:tcW w:w="84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3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(7)</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3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Adjusted earnings per share*</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1.06</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0.06</w:t>
            </w:r>
          </w:p>
        </w:tc>
        <w:tc>
          <w:tcPr>
            <w:tcW w:w="120" w:type="dxa"/>
            <w:vAlign w:val="bottom"/>
            <w:tcBorders>
              <w:bottom w:val="single" w:sz="8" w:color="E4E4E4"/>
            </w:tcBorders>
            <w:shd w:val="clear" w:color="auto" w:fill="E4E4E4"/>
          </w:tcPr>
          <w:p>
            <w:pPr>
              <w:spacing w:after="0"/>
              <w:rPr>
                <w:sz w:val="21"/>
                <w:szCs w:val="21"/>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2.07</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1.90</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0.17</w:t>
            </w:r>
          </w:p>
        </w:tc>
        <w:tc>
          <w:tcPr>
            <w:tcW w:w="0" w:type="dxa"/>
            <w:vAlign w:val="bottom"/>
          </w:tcPr>
          <w:p>
            <w:pPr>
              <w:spacing w:after="0"/>
              <w:rPr>
                <w:sz w:val="1"/>
                <w:szCs w:val="1"/>
                <w:color w:val="auto"/>
              </w:rPr>
            </w:pPr>
          </w:p>
        </w:tc>
      </w:tr>
      <w:tr>
        <w:trPr>
          <w:trHeight w:val="229"/>
        </w:trPr>
        <w:tc>
          <w:tcPr>
            <w:tcW w:w="53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Diluted weighted-average shares outstanding</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458</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459</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459</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459</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86" w:lineRule="auto"/>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7" w:lineRule="exact"/>
        <w:rPr>
          <w:rFonts w:ascii="Arial" w:cs="Arial" w:eastAsia="Arial" w:hAnsi="Arial"/>
          <w:sz w:val="16"/>
          <w:szCs w:val="16"/>
          <w:color w:val="auto"/>
        </w:rPr>
      </w:pPr>
    </w:p>
    <w:p>
      <w:pPr>
        <w:jc w:val="both"/>
        <w:ind w:left="440" w:right="180" w:hanging="414"/>
        <w:spacing w:after="0" w:line="275" w:lineRule="auto"/>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 An adjustment is included to eliminate the associated impact on Net (income) loss attributable to noncontrolling interests for applicable costs that impact earnings attributable to noncontrolling interests.</w:t>
      </w:r>
    </w:p>
    <w:p>
      <w:pPr>
        <w:spacing w:after="0" w:line="2" w:lineRule="exact"/>
        <w:rPr>
          <w:rFonts w:ascii="Arial" w:cs="Arial" w:eastAsia="Arial" w:hAnsi="Arial"/>
          <w:sz w:val="16"/>
          <w:szCs w:val="16"/>
          <w:color w:val="auto"/>
        </w:rPr>
      </w:pPr>
    </w:p>
    <w:p>
      <w:pPr>
        <w:ind w:left="440" w:hanging="414"/>
        <w:spacing w:after="0"/>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72" w:lineRule="exact"/>
        <w:rPr>
          <w:rFonts w:ascii="Arial" w:cs="Arial" w:eastAsia="Arial" w:hAnsi="Arial"/>
          <w:sz w:val="16"/>
          <w:szCs w:val="16"/>
          <w:color w:val="auto"/>
        </w:rPr>
      </w:pPr>
    </w:p>
    <w:p>
      <w:pPr>
        <w:ind w:left="440" w:right="60" w:hanging="414"/>
        <w:spacing w:after="0" w:line="286" w:lineRule="auto"/>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six months ended June 30, 2025, includes the impact from the revaluation of our existing 50% interest in NMP as part of the acquisition transaction.</w:t>
      </w:r>
    </w:p>
    <w:p>
      <w:pPr>
        <w:spacing w:after="0" w:line="7" w:lineRule="exact"/>
        <w:rPr>
          <w:rFonts w:ascii="Arial" w:cs="Arial" w:eastAsia="Arial" w:hAnsi="Arial"/>
          <w:sz w:val="16"/>
          <w:szCs w:val="16"/>
          <w:color w:val="auto"/>
        </w:rPr>
      </w:pPr>
    </w:p>
    <w:p>
      <w:pPr>
        <w:ind w:left="440" w:right="320" w:hanging="414"/>
        <w:spacing w:after="0" w:line="286" w:lineRule="auto"/>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spacing w:after="0" w:line="7" w:lineRule="exact"/>
        <w:rPr>
          <w:rFonts w:ascii="Arial" w:cs="Arial" w:eastAsia="Arial" w:hAnsi="Arial"/>
          <w:sz w:val="16"/>
          <w:szCs w:val="16"/>
          <w:color w:val="auto"/>
        </w:rPr>
      </w:pPr>
    </w:p>
    <w:p>
      <w:pPr>
        <w:ind w:left="440" w:right="60" w:hanging="414"/>
        <w:spacing w:after="0" w:line="265" w:lineRule="auto"/>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release of income tax reserves in a foreign jurisdiction for tax years which are no longer subject to an assessment from the local taxing authorities, discrete tax impacts resulting from the Spin-Off and separation from GE, and tax impacts of the NMP acquisition. As of the third quarter of 2024 this line additionally includes discrete tax impacts resulting from the Spin-Off and separation from GE previously reported under Tax effect of reconciling items.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Adjusted Tax Expense* and Adjusted ETR*</w:t>
            </w:r>
          </w:p>
        </w:tc>
        <w:tc>
          <w:tcPr>
            <w:tcW w:w="3020" w:type="dxa"/>
            <w:vAlign w:val="bottom"/>
            <w:gridSpan w:val="5"/>
          </w:tcPr>
          <w:p>
            <w:pPr>
              <w:ind w:left="60"/>
              <w:spacing w:after="0"/>
              <w:rPr>
                <w:sz w:val="20"/>
                <w:szCs w:val="20"/>
                <w:color w:val="auto"/>
              </w:rPr>
            </w:pPr>
            <w:r>
              <w:rPr>
                <w:rFonts w:ascii="Arial" w:cs="Arial" w:eastAsia="Arial" w:hAnsi="Arial"/>
                <w:sz w:val="16"/>
                <w:szCs w:val="16"/>
                <w:b w:val="1"/>
                <w:bCs w:val="1"/>
                <w:color w:val="454545"/>
              </w:rPr>
              <w:t>For the three months ended June 30</w:t>
            </w:r>
          </w:p>
        </w:tc>
        <w:tc>
          <w:tcPr>
            <w:tcW w:w="140" w:type="dxa"/>
            <w:vAlign w:val="bottom"/>
          </w:tcPr>
          <w:p>
            <w:pPr>
              <w:spacing w:after="0"/>
              <w:rPr>
                <w:sz w:val="19"/>
                <w:szCs w:val="19"/>
                <w:color w:val="auto"/>
              </w:rPr>
            </w:pPr>
          </w:p>
        </w:tc>
        <w:tc>
          <w:tcPr>
            <w:tcW w:w="27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530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r>
      <w:tr>
        <w:trPr>
          <w:trHeight w:val="229"/>
        </w:trPr>
        <w:tc>
          <w:tcPr>
            <w:tcW w:w="5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2025</w:t>
            </w:r>
          </w:p>
        </w:tc>
        <w:tc>
          <w:tcPr>
            <w:tcW w:w="34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2025</w:t>
            </w:r>
          </w:p>
        </w:tc>
        <w:tc>
          <w:tcPr>
            <w:tcW w:w="36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2024</w:t>
            </w:r>
          </w:p>
        </w:tc>
      </w:tr>
      <w:tr>
        <w:trPr>
          <w:trHeight w:val="21"/>
        </w:trPr>
        <w:tc>
          <w:tcPr>
            <w:tcW w:w="530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r>
      <w:tr>
        <w:trPr>
          <w:trHeight w:val="230"/>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Benefit (provision) for income taxes</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(113)</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w:t>
            </w:r>
          </w:p>
        </w:tc>
        <w:tc>
          <w:tcPr>
            <w:tcW w:w="10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(216)</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(267)</w:t>
            </w:r>
          </w:p>
        </w:tc>
      </w:tr>
      <w:tr>
        <w:trPr>
          <w:trHeight w:val="257"/>
        </w:trPr>
        <w:tc>
          <w:tcPr>
            <w:tcW w:w="530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(1)</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97"/>
        </w:trPr>
        <w:tc>
          <w:tcPr>
            <w:tcW w:w="530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E4E4E4"/>
          </w:tcPr>
          <w:p>
            <w:pPr>
              <w:spacing w:after="0"/>
              <w:rPr>
                <w:sz w:val="24"/>
                <w:szCs w:val="24"/>
                <w:color w:val="auto"/>
              </w:rPr>
            </w:pP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4E4E4"/>
          </w:tcPr>
          <w:p>
            <w:pPr>
              <w:spacing w:after="0"/>
              <w:rPr>
                <w:sz w:val="24"/>
                <w:szCs w:val="24"/>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auto"/>
            </w:tcBorders>
            <w:shd w:val="clear" w:color="auto" w:fill="E4E4E4"/>
          </w:tcPr>
          <w:p>
            <w:pPr>
              <w:spacing w:after="0"/>
              <w:rPr>
                <w:sz w:val="24"/>
                <w:szCs w:val="24"/>
                <w:color w:val="auto"/>
              </w:rPr>
            </w:pPr>
          </w:p>
        </w:tc>
        <w:tc>
          <w:tcPr>
            <w:tcW w:w="140" w:type="dxa"/>
            <w:vAlign w:val="bottom"/>
            <w:tcBorders>
              <w:bottom w:val="single" w:sz="8" w:color="auto"/>
            </w:tcBorders>
            <w:shd w:val="clear" w:color="auto" w:fill="E4E4E4"/>
          </w:tcPr>
          <w:p>
            <w:pPr>
              <w:spacing w:after="0"/>
              <w:rPr>
                <w:sz w:val="24"/>
                <w:szCs w:val="24"/>
                <w:color w:val="auto"/>
              </w:rPr>
            </w:pPr>
          </w:p>
        </w:tc>
        <w:tc>
          <w:tcPr>
            <w:tcW w:w="13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360" w:type="dxa"/>
            <w:vAlign w:val="bottom"/>
            <w:tcBorders>
              <w:bottom w:val="single" w:sz="8" w:color="auto"/>
            </w:tcBorders>
            <w:shd w:val="clear" w:color="auto" w:fill="E4E4E4"/>
          </w:tcPr>
          <w:p>
            <w:pPr>
              <w:spacing w:after="0"/>
              <w:rPr>
                <w:sz w:val="24"/>
                <w:szCs w:val="24"/>
                <w:color w:val="auto"/>
              </w:rPr>
            </w:pPr>
          </w:p>
        </w:tc>
        <w:tc>
          <w:tcPr>
            <w:tcW w:w="11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14</w:t>
            </w:r>
          </w:p>
        </w:tc>
      </w:tr>
      <w:tr>
        <w:trPr>
          <w:trHeight w:val="229"/>
        </w:trPr>
        <w:tc>
          <w:tcPr>
            <w:tcW w:w="5300" w:type="dxa"/>
            <w:vAlign w:val="bottom"/>
          </w:tcPr>
          <w:p>
            <w:pPr>
              <w:ind w:left="80"/>
              <w:spacing w:after="0"/>
              <w:rPr>
                <w:sz w:val="20"/>
                <w:szCs w:val="20"/>
                <w:color w:val="auto"/>
              </w:rPr>
            </w:pPr>
            <w:r>
              <w:rPr>
                <w:rFonts w:ascii="Arial" w:cs="Arial" w:eastAsia="Arial" w:hAnsi="Arial"/>
                <w:sz w:val="16"/>
                <w:szCs w:val="16"/>
                <w:b w:val="1"/>
                <w:bCs w:val="1"/>
                <w:color w:val="auto"/>
              </w:rPr>
              <w:t>Adjusted tax expense*</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(114)</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(235)</w:t>
            </w:r>
          </w:p>
        </w:tc>
        <w:tc>
          <w:tcPr>
            <w:tcW w:w="36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(277)</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Effective tax rate</w:t>
            </w:r>
          </w:p>
        </w:tc>
        <w:tc>
          <w:tcPr>
            <w:tcW w:w="32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18.4%</w:t>
            </w:r>
          </w:p>
        </w:tc>
        <w:tc>
          <w:tcPr>
            <w:tcW w:w="34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24.7%</w:t>
            </w:r>
          </w:p>
        </w:tc>
        <w:tc>
          <w:tcPr>
            <w:tcW w:w="10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16.6%</w:t>
            </w:r>
          </w:p>
        </w:tc>
        <w:tc>
          <w:tcPr>
            <w:tcW w:w="360" w:type="dxa"/>
            <w:vAlign w:val="bottom"/>
            <w:tcBorders>
              <w:bottom w:val="single" w:sz="8" w:color="E4E4E4"/>
            </w:tcBorders>
            <w:shd w:val="clear" w:color="auto" w:fill="E4E4E4"/>
          </w:tcPr>
          <w:p>
            <w:pPr>
              <w:spacing w:after="0"/>
              <w:rPr>
                <w:sz w:val="20"/>
                <w:szCs w:val="20"/>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24.5%</w:t>
            </w:r>
          </w:p>
        </w:tc>
      </w:tr>
      <w:tr>
        <w:trPr>
          <w:trHeight w:val="236"/>
        </w:trPr>
        <w:tc>
          <w:tcPr>
            <w:tcW w:w="5300" w:type="dxa"/>
            <w:vAlign w:val="bottom"/>
          </w:tcPr>
          <w:p>
            <w:pPr>
              <w:ind w:left="80"/>
              <w:spacing w:after="0"/>
              <w:rPr>
                <w:sz w:val="20"/>
                <w:szCs w:val="20"/>
                <w:color w:val="auto"/>
              </w:rPr>
            </w:pPr>
            <w:r>
              <w:rPr>
                <w:rFonts w:ascii="Arial" w:cs="Arial" w:eastAsia="Arial" w:hAnsi="Arial"/>
                <w:sz w:val="16"/>
                <w:szCs w:val="16"/>
                <w:b w:val="1"/>
                <w:bCs w:val="1"/>
                <w:color w:val="auto"/>
              </w:rPr>
              <w:t>Adjusted effective tax rate*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18.5%</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19.3%</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23.7%</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right="320" w:hanging="414"/>
        <w:spacing w:after="0" w:line="290" w:lineRule="auto"/>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ind w:left="440" w:right="60" w:hanging="414"/>
        <w:spacing w:after="0" w:line="271" w:lineRule="auto"/>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release of income tax reserves in a foreign jurisdiction for tax years which are no longer subject to an assessment from the local taxing authorities, discrete tax impacts resulting from the Spin-Off and separation from GE, and tax impacts of the NMP acquisition. As of the third quarter of 2024 this line additionally includes discrete tax impacts resulting from the Spin-Off and separation from GE previously reported under Tax effect of reconciling items.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Free Cash Flow*</w:t>
            </w:r>
          </w:p>
        </w:tc>
        <w:tc>
          <w:tcPr>
            <w:tcW w:w="220" w:type="dxa"/>
            <w:vAlign w:val="bottom"/>
          </w:tcPr>
          <w:p>
            <w:pPr>
              <w:spacing w:after="0"/>
              <w:rPr>
                <w:sz w:val="19"/>
                <w:szCs w:val="19"/>
                <w:color w:val="auto"/>
              </w:rPr>
            </w:pPr>
          </w:p>
        </w:tc>
        <w:tc>
          <w:tcPr>
            <w:tcW w:w="312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790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29"/>
        </w:trPr>
        <w:tc>
          <w:tcPr>
            <w:tcW w:w="7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2025</w:t>
            </w:r>
          </w:p>
        </w:tc>
        <w:tc>
          <w:tcPr>
            <w:tcW w:w="260" w:type="dxa"/>
            <w:vAlign w:val="bottom"/>
          </w:tcPr>
          <w:p>
            <w:pPr>
              <w:spacing w:after="0"/>
              <w:rPr>
                <w:sz w:val="19"/>
                <w:szCs w:val="19"/>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2024</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79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r>
      <w:tr>
        <w:trPr>
          <w:trHeight w:val="257"/>
        </w:trPr>
        <w:tc>
          <w:tcPr>
            <w:tcW w:w="79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Cash from (used for) operating activities</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344</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300</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r>
      <w:tr>
        <w:trPr>
          <w:trHeight w:val="254"/>
        </w:trPr>
        <w:tc>
          <w:tcPr>
            <w:tcW w:w="7900" w:type="dxa"/>
            <w:vAlign w:val="bottom"/>
          </w:tcPr>
          <w:p>
            <w:pPr>
              <w:ind w:left="80"/>
              <w:spacing w:after="0"/>
              <w:rPr>
                <w:sz w:val="20"/>
                <w:szCs w:val="20"/>
                <w:color w:val="auto"/>
              </w:rPr>
            </w:pPr>
            <w:r>
              <w:rPr>
                <w:rFonts w:ascii="Arial" w:cs="Arial" w:eastAsia="Arial" w:hAnsi="Arial"/>
                <w:sz w:val="16"/>
                <w:szCs w:val="16"/>
                <w:color w:val="auto"/>
              </w:rPr>
              <w:t>Add: Additions to PP&amp;E and internal-use software</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(238)</w:t>
            </w:r>
          </w:p>
        </w:tc>
        <w:tc>
          <w:tcPr>
            <w:tcW w:w="2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(209)</w:t>
            </w:r>
          </w:p>
        </w:tc>
        <w:tc>
          <w:tcPr>
            <w:tcW w:w="1020" w:type="dxa"/>
            <w:vAlign w:val="bottom"/>
          </w:tcPr>
          <w:p>
            <w:pPr>
              <w:spacing w:after="0"/>
              <w:rPr>
                <w:sz w:val="22"/>
                <w:szCs w:val="22"/>
                <w:color w:val="auto"/>
              </w:rPr>
            </w:pPr>
          </w:p>
        </w:tc>
      </w:tr>
      <w:tr>
        <w:trPr>
          <w:trHeight w:val="29"/>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9"/>
        </w:trPr>
        <w:tc>
          <w:tcPr>
            <w:tcW w:w="79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Dispositions of PP&amp;E</w:t>
            </w:r>
          </w:p>
        </w:tc>
        <w:tc>
          <w:tcPr>
            <w:tcW w:w="220" w:type="dxa"/>
            <w:vAlign w:val="bottom"/>
            <w:tcBorders>
              <w:bottom w:val="single" w:sz="8" w:color="E4E4E4"/>
            </w:tcBorders>
            <w:shd w:val="clear" w:color="auto" w:fill="E4E4E4"/>
          </w:tcPr>
          <w:p>
            <w:pPr>
              <w:spacing w:after="0"/>
              <w:rPr>
                <w:sz w:val="24"/>
                <w:szCs w:val="24"/>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4"/>
                <w:szCs w:val="24"/>
                <w:color w:val="auto"/>
              </w:rPr>
            </w:pPr>
          </w:p>
        </w:tc>
        <w:tc>
          <w:tcPr>
            <w:tcW w:w="9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spacing w:after="0"/>
              <w:rPr>
                <w:sz w:val="24"/>
                <w:szCs w:val="24"/>
                <w:color w:val="auto"/>
              </w:rPr>
            </w:pPr>
          </w:p>
        </w:tc>
      </w:tr>
      <w:tr>
        <w:trPr>
          <w:trHeight w:val="256"/>
        </w:trPr>
        <w:tc>
          <w:tcPr>
            <w:tcW w:w="790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Free cash flow*</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106</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92</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2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255"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of June 30, 2025, our Cash, cash equivalents, and restricted cash balance in the Condensed Consolidated Statements of Financial Position was $3,763 million. We have historically generated positive cash flows from operating activities. Additionally, we have access to revolving credit facilities of $3,500 million in aggregate, described in detail in Note 8, “Borrowings.”</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believe that our existing balance of Cash, cash equivalents, and restricted cash, future cash generated from operating activities, access to capital markets, and existing credit facilities will be sufficient to meet the needs of our current and ongoing operations, pay taxes due, service our existing debt, and fund investments in our business for at least the next 12 months.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20"/>
                <w:szCs w:val="20"/>
                <w:color w:val="auto"/>
              </w:rPr>
            </w:pPr>
            <w:r>
              <w:rPr>
                <w:rFonts w:ascii="Arial" w:cs="Arial" w:eastAsia="Arial" w:hAnsi="Arial"/>
                <w:sz w:val="16"/>
                <w:szCs w:val="16"/>
                <w:color w:val="auto"/>
              </w:rPr>
              <w:t>The following table summarizes our cash flows for the periods presented:</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508"/>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Flow</w:t>
            </w:r>
          </w:p>
        </w:tc>
        <w:tc>
          <w:tcPr>
            <w:tcW w:w="240" w:type="dxa"/>
            <w:vAlign w:val="bottom"/>
          </w:tcPr>
          <w:p>
            <w:pPr>
              <w:spacing w:after="0"/>
              <w:rPr>
                <w:sz w:val="24"/>
                <w:szCs w:val="24"/>
                <w:color w:val="auto"/>
              </w:rPr>
            </w:pPr>
          </w:p>
        </w:tc>
        <w:tc>
          <w:tcPr>
            <w:tcW w:w="314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454545"/>
              </w:rPr>
              <w:t>For the six months ended June 30</w:t>
            </w:r>
          </w:p>
        </w:tc>
      </w:tr>
      <w:tr>
        <w:trPr>
          <w:trHeight w:val="21"/>
        </w:trPr>
        <w:tc>
          <w:tcPr>
            <w:tcW w:w="786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7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2025</w:t>
            </w:r>
          </w:p>
        </w:tc>
        <w:tc>
          <w:tcPr>
            <w:tcW w:w="40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2024</w:t>
            </w:r>
          </w:p>
        </w:tc>
      </w:tr>
      <w:tr>
        <w:trPr>
          <w:trHeight w:val="21"/>
        </w:trPr>
        <w:tc>
          <w:tcPr>
            <w:tcW w:w="786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r>
      <w:tr>
        <w:trPr>
          <w:trHeight w:val="230"/>
        </w:trPr>
        <w:tc>
          <w:tcPr>
            <w:tcW w:w="78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Cash from (used for) operating activities</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344</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300</w:t>
            </w:r>
          </w:p>
        </w:tc>
      </w:tr>
      <w:tr>
        <w:trPr>
          <w:trHeight w:val="228"/>
        </w:trPr>
        <w:tc>
          <w:tcPr>
            <w:tcW w:w="7860" w:type="dxa"/>
            <w:vAlign w:val="bottom"/>
          </w:tcPr>
          <w:p>
            <w:pPr>
              <w:ind w:left="80"/>
              <w:spacing w:after="0"/>
              <w:rPr>
                <w:sz w:val="20"/>
                <w:szCs w:val="20"/>
                <w:color w:val="auto"/>
              </w:rPr>
            </w:pPr>
            <w:r>
              <w:rPr>
                <w:rFonts w:ascii="Arial" w:cs="Arial" w:eastAsia="Arial" w:hAnsi="Arial"/>
                <w:sz w:val="16"/>
                <w:szCs w:val="16"/>
                <w:color w:val="auto"/>
              </w:rPr>
              <w:t>Cash from (used for) investing activities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(630)</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(537)</w:t>
            </w:r>
          </w:p>
        </w:tc>
      </w:tr>
      <w:tr>
        <w:trPr>
          <w:trHeight w:val="29"/>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8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Cash from (used for) financing activities</w:t>
            </w:r>
          </w:p>
        </w:tc>
        <w:tc>
          <w:tcPr>
            <w:tcW w:w="24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1,075</w:t>
            </w: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(210)</w:t>
            </w:r>
          </w:p>
        </w:tc>
      </w:tr>
      <w:tr>
        <w:trPr>
          <w:trHeight w:val="227"/>
        </w:trPr>
        <w:tc>
          <w:tcPr>
            <w:tcW w:w="7860" w:type="dxa"/>
            <w:vAlign w:val="bottom"/>
          </w:tcPr>
          <w:p>
            <w:pPr>
              <w:ind w:left="80"/>
              <w:spacing w:after="0"/>
              <w:rPr>
                <w:sz w:val="20"/>
                <w:szCs w:val="20"/>
                <w:color w:val="auto"/>
              </w:rPr>
            </w:pPr>
            <w:r>
              <w:rPr>
                <w:rFonts w:ascii="Arial" w:cs="Arial" w:eastAsia="Arial" w:hAnsi="Arial"/>
                <w:sz w:val="16"/>
                <w:szCs w:val="16"/>
                <w:color w:val="auto"/>
              </w:rPr>
              <w:t>Free cash flow*</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106</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9"/>
        </w:trPr>
        <w:tc>
          <w:tcPr>
            <w:tcW w:w="7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Operating Activities</w:t>
      </w:r>
    </w:p>
    <w:p>
      <w:pPr>
        <w:spacing w:after="0" w:line="2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Cash generated from operating activities in the six months ended June 30, 2025 was $344 million and included Net income of $1,088 million, adjusted for non-cash items including depreciation and amortization expense of $284 million, the gain on remeasurement of the NMP equity method investment of $97 million, and $930 million in net outflows from changes in assets and liabilities. The changes in assets and liabilities are primarily driven by compensation and benefit payments, company-funded benefit payments for postretirement benefit plans, an increase in inventories to meet business demand in the current trade environment, and a decrease in accounts payable, partially offset off by a decrease in current receivables primarily from collections.</w:t>
      </w:r>
    </w:p>
    <w:p>
      <w:pPr>
        <w:spacing w:after="0" w:line="22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Cash generated from operating activities in the six months ended June 30, 2024 was $300 million and included Net income of $823 million, non-cash charges primarily for depreciation and amortization of $297 million, and $820 million in outflows from incremental changes in assets and liabilities, primarily driven by compensation and benefit payments, company-funded benefit payments for postretirement benefit plans, and an increase in inventories mainly due to inventory build to meet higher demand in the second half of the year.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Investing Activities</w:t>
      </w:r>
    </w:p>
    <w:p>
      <w:pPr>
        <w:spacing w:after="0" w:line="2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Cash used for investing activities in the six months ended June 30, 2025 was $630 million and primarily included purchases of businesses, net of cash acquired, of $279 million largely related to the acquisition of the remaining 50% interest in NMP, additions to PP&amp;E of $238 million related mostly to new product introductions and manufacturing capacity expansion, and a payment of $178 million for settlement of cross-currency swaps that were designated in net investment hedges. Refer to Note 7, “Acquisitions, Goodwill, and Other Intangible Assets” for additional information on the NMP acquisition and Note 12, “Financial Instruments and Fair Value Measurements” for additional information on the settlement of cross-currency swaps.</w:t>
      </w:r>
    </w:p>
    <w:p>
      <w:pPr>
        <w:spacing w:after="0" w:line="222"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Cash used for investing activities in the six months ended June 30, 2024 was $537 million and primarily included purchases of businesses, net of cash acquired, of $259 million related to MIM Software Inc. (“MIM Software”), and additions to PP&amp;E of $209 million related mostly to manufacturing capacity expansion and new product introductions. Refer to Note 7, “Acquisitions, Goodwill, and Other Intangible Assets” for additional information on the MIM Software acquisition.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Cash generated from financing activities in the six months ended June 30, 2025 was $1,075 million and primarily included $1,487 million of net proceeds from the issuance of $650 million aggregate principal amount of senior unsecured notes due in 2031 and $850 million aggregate principal amount of senior unsecured notes due in 2035, partially offset by repayment of $250 million of our outstanding Term Loan Facility, and repurchase of common stock for total consideration of $100 million. Refer to Note 8, “Borrowings” and Note 11, “Shareholders' Equity” for further information.</w:t>
      </w:r>
    </w:p>
    <w:p>
      <w:pPr>
        <w:spacing w:after="0" w:line="203" w:lineRule="exact"/>
        <w:rPr>
          <w:sz w:val="20"/>
          <w:szCs w:val="20"/>
          <w:color w:val="auto"/>
        </w:rPr>
      </w:pPr>
    </w:p>
    <w:p>
      <w:pPr>
        <w:ind w:right="680"/>
        <w:spacing w:after="0" w:line="304" w:lineRule="auto"/>
        <w:rPr>
          <w:sz w:val="20"/>
          <w:szCs w:val="20"/>
          <w:color w:val="auto"/>
        </w:rPr>
      </w:pPr>
      <w:r>
        <w:rPr>
          <w:rFonts w:ascii="Arial" w:cs="Arial" w:eastAsia="Arial" w:hAnsi="Arial"/>
          <w:sz w:val="16"/>
          <w:szCs w:val="16"/>
          <w:color w:val="auto"/>
        </w:rPr>
        <w:t>Cash used for financing activities in the six months ended June 30, 2024 was $210 million and primarily included a repayment of $150 million of our outstanding Term Loan Facility.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Free cash flow*</w:t>
      </w:r>
    </w:p>
    <w:p>
      <w:pPr>
        <w:spacing w:after="0" w:line="29"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color w:val="auto"/>
        </w:rPr>
        <w:t>Free cash flow* was $106 million for the six months ended June 30, 2025 and included $344 million of cash generated from operating activities, partially offset by $238 million of cash used for additions to PP&amp;E.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Free cash flow* was $92 million for the six months ended June 30, 2024 and included $300 million of cash generated from operating activities, partially offset by $209 million of cash used for additions to PP&amp;E.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p>
    <w:p>
      <w:pPr>
        <w:spacing w:after="0" w:line="29"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Cash used for capital expenditures was $238 million and $209 million for the six months ended June 30, 2025 and 2024, respectively. Capital expenditures were primarily for manufacturing capacity expansion, new product introductions, and equipment and tooling for new and existing products.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Material Cash Requirements</w:t>
      </w:r>
    </w:p>
    <w:p>
      <w:pPr>
        <w:spacing w:after="0" w:line="1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 the normal course of business, we enter into contracts and commitments that obligate us to make payments in the future. Information regarding our obligations under lease, debt, and other commitments are provided in Note 7, “Leases,” Note 9, “Borrowings,” and Note 14, “Commitments, Guarantees, Product Warranties, and Other Loss Contingencies” to the consolidated and combined financial statements contained in our Annual Report on Form 10-K for the fiscal year ended December 31, 2024. We have material cash requirements related to our pension obligations as described in Note 9, “Postretirement Benefit Plans.”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Debt and Credit Facilities</w:t>
      </w:r>
    </w:p>
    <w:p>
      <w:pPr>
        <w:spacing w:after="0" w:line="2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part of our capital structure, we have incurred debt. The servicing of this debt is supported by cash flows from our operations. As of June 30, 2025, we had $10,275 million of total debt compared to $8,951 million as of December 31, 2024. The increase in debt was due primarily to our issuance, in the second quarter of 2025, of $650 million aggregate principal amount of senior unsecured notes due in 2031 and $850 million aggregate principal amount of senior unsecured notes due in 2035, partially offset by a repayment of $250 million of the outstanding Term Loan Facility in the first quarter of 2025. We plan to use the net proceeds from the debt issuance referenced above, together with cash on hand, to repay the $1,500 million aggregate principal amount outstanding of the senior unsecured notes due in November 2025. Additional information on our debt and credit facilities, including definitions of the terms used above, is included in Note 8, “Borrowings.”</w:t>
      </w:r>
    </w:p>
    <w:p>
      <w:pPr>
        <w:spacing w:after="0" w:line="22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 xml:space="preserve">In addition to the Term Loan Facility, our credit facilities include a five-year senior unsecured revolving facility that provides borrowings of up to $3,000 million expiring in March 2030, and a 364-day senior unsecured revolving facility that provides borrowings of up to $500 million expiring in March 2026. As of </w:t>
      </w:r>
      <w:r>
        <w:rPr>
          <w:rFonts w:ascii="Arial" w:cs="Arial" w:eastAsia="Arial" w:hAnsi="Arial"/>
          <w:sz w:val="16"/>
          <w:szCs w:val="16"/>
          <w:color w:val="231F20"/>
        </w:rPr>
        <w:t>June</w:t>
      </w:r>
      <w:r>
        <w:rPr>
          <w:rFonts w:ascii="Arial" w:cs="Arial" w:eastAsia="Arial" w:hAnsi="Arial"/>
          <w:sz w:val="16"/>
          <w:szCs w:val="16"/>
          <w:color w:val="auto"/>
        </w:rPr>
        <w:t xml:space="preserve"> </w:t>
      </w:r>
      <w:r>
        <w:rPr>
          <w:rFonts w:ascii="Arial" w:cs="Arial" w:eastAsia="Arial" w:hAnsi="Arial"/>
          <w:sz w:val="16"/>
          <w:szCs w:val="16"/>
          <w:color w:val="231F20"/>
        </w:rPr>
        <w:t>30, 2025</w:t>
      </w:r>
      <w:r>
        <w:rPr>
          <w:rFonts w:ascii="Arial" w:cs="Arial" w:eastAsia="Arial" w:hAnsi="Arial"/>
          <w:sz w:val="16"/>
          <w:szCs w:val="16"/>
          <w:color w:val="000000"/>
        </w:rPr>
        <w:t>, there were no outstanding borrowings on either of the two revolving facilities.</w:t>
      </w:r>
    </w:p>
    <w:p>
      <w:pPr>
        <w:spacing w:after="0" w:line="212" w:lineRule="exact"/>
        <w:rPr>
          <w:sz w:val="20"/>
          <w:szCs w:val="20"/>
          <w:color w:val="auto"/>
        </w:rPr>
      </w:pPr>
    </w:p>
    <w:p>
      <w:pPr>
        <w:jc w:val="both"/>
        <w:ind w:right="720"/>
        <w:spacing w:after="0" w:line="266" w:lineRule="auto"/>
        <w:rPr>
          <w:sz w:val="20"/>
          <w:szCs w:val="20"/>
          <w:color w:val="auto"/>
        </w:rPr>
      </w:pPr>
      <w:r>
        <w:rPr>
          <w:rFonts w:ascii="Arial" w:cs="Arial" w:eastAsia="Arial" w:hAnsi="Arial"/>
          <w:sz w:val="16"/>
          <w:szCs w:val="16"/>
          <w:color w:val="auto"/>
        </w:rPr>
        <w:t>The Credit Facilities include various customary covenants that limit, among other things, the incurrence of liens securing debt, the entry into certain fundamental change transactions by GE HealthCare, and the maximum permitted consolidated net leverage ratio. As of June 30, 2025, we were in compliance with the covenant requirements, including the maximum consolidated net leverage ratio.</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Access to Capital and Credit Ratings</w:t>
      </w:r>
    </w:p>
    <w:p>
      <w:pPr>
        <w:spacing w:after="0" w:line="19" w:lineRule="exact"/>
        <w:rPr>
          <w:sz w:val="20"/>
          <w:szCs w:val="20"/>
          <w:color w:val="auto"/>
        </w:rPr>
      </w:pPr>
    </w:p>
    <w:p>
      <w:pPr>
        <w:jc w:val="both"/>
        <w:ind w:right="480"/>
        <w:spacing w:after="0" w:line="264" w:lineRule="auto"/>
        <w:rPr>
          <w:sz w:val="20"/>
          <w:szCs w:val="20"/>
          <w:color w:val="auto"/>
        </w:rPr>
      </w:pPr>
      <w:r>
        <w:rPr>
          <w:rFonts w:ascii="Arial" w:cs="Arial" w:eastAsia="Arial" w:hAnsi="Arial"/>
          <w:sz w:val="16"/>
          <w:szCs w:val="16"/>
          <w:color w:val="auto"/>
        </w:rPr>
        <w:t>We plan to continue to rely on capital markets, and we expect to have access to credit facilities to fund our operations. The cost and availability of debt financing will be influenced by our credit ratings and market conditions. Moody’s Investors Service (“Moody’s”), S&amp;P Global Ratings (“S&amp;P”), and Fitch Ratings (“Fitch”) currently issue ratings on our long-term debt.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Our credit ratings as of July 23, 2025 are set forth in the table below and remain unchanged since the Spin-Off.</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80" w:type="dxa"/>
            <w:vAlign w:val="bottom"/>
          </w:tcPr>
          <w:p>
            <w:pPr>
              <w:spacing w:after="0"/>
              <w:rPr>
                <w:sz w:val="19"/>
                <w:szCs w:val="19"/>
                <w:color w:val="auto"/>
              </w:rPr>
            </w:pPr>
          </w:p>
        </w:tc>
        <w:tc>
          <w:tcPr>
            <w:tcW w:w="3740" w:type="dxa"/>
            <w:vAlign w:val="bottom"/>
          </w:tcPr>
          <w:p>
            <w:pPr>
              <w:jc w:val="center"/>
              <w:ind w:left="1579"/>
              <w:spacing w:after="0"/>
              <w:rPr>
                <w:sz w:val="20"/>
                <w:szCs w:val="20"/>
                <w:color w:val="auto"/>
              </w:rPr>
            </w:pPr>
            <w:r>
              <w:rPr>
                <w:rFonts w:ascii="Arial" w:cs="Arial" w:eastAsia="Arial" w:hAnsi="Arial"/>
                <w:sz w:val="16"/>
                <w:szCs w:val="16"/>
                <w:b w:val="1"/>
                <w:bCs w:val="1"/>
                <w:color w:val="454545"/>
                <w:w w:val="98"/>
              </w:rPr>
              <w:t>Moody’s</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454545"/>
                <w:w w:val="97"/>
              </w:rPr>
              <w:t>S&amp;P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454545"/>
                <w:w w:val="99"/>
              </w:rPr>
              <w:t>Fitch</w:t>
            </w:r>
          </w:p>
        </w:tc>
      </w:tr>
      <w:tr>
        <w:trPr>
          <w:trHeight w:val="21"/>
        </w:trPr>
        <w:tc>
          <w:tcPr>
            <w:tcW w:w="3580" w:type="dxa"/>
            <w:vAlign w:val="bottom"/>
            <w:tcBorders>
              <w:bottom w:val="single" w:sz="8" w:color="6022A6"/>
            </w:tcBorders>
          </w:tcPr>
          <w:p>
            <w:pPr>
              <w:spacing w:after="0" w:line="20" w:lineRule="exact"/>
              <w:rPr>
                <w:sz w:val="1"/>
                <w:szCs w:val="1"/>
                <w:color w:val="auto"/>
              </w:rPr>
            </w:pPr>
          </w:p>
        </w:tc>
        <w:tc>
          <w:tcPr>
            <w:tcW w:w="3740" w:type="dxa"/>
            <w:vAlign w:val="bottom"/>
            <w:tcBorders>
              <w:bottom w:val="single" w:sz="8" w:color="6022A6"/>
            </w:tcBorders>
          </w:tcPr>
          <w:p>
            <w:pPr>
              <w:spacing w:after="0" w:line="20" w:lineRule="exact"/>
              <w:rPr>
                <w:sz w:val="1"/>
                <w:szCs w:val="1"/>
                <w:color w:val="auto"/>
              </w:rPr>
            </w:pPr>
          </w:p>
        </w:tc>
        <w:tc>
          <w:tcPr>
            <w:tcW w:w="1940" w:type="dxa"/>
            <w:vAlign w:val="bottom"/>
            <w:tcBorders>
              <w:bottom w:val="single" w:sz="8" w:color="6022A6"/>
            </w:tcBorders>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3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rating</w:t>
            </w:r>
          </w:p>
        </w:tc>
        <w:tc>
          <w:tcPr>
            <w:tcW w:w="3740" w:type="dxa"/>
            <w:vAlign w:val="bottom"/>
            <w:tcBorders>
              <w:bottom w:val="single" w:sz="8" w:color="E4E4E4"/>
            </w:tcBorders>
            <w:shd w:val="clear" w:color="auto" w:fill="E4E4E4"/>
          </w:tcPr>
          <w:p>
            <w:pPr>
              <w:jc w:val="center"/>
              <w:ind w:left="1559"/>
              <w:spacing w:after="0"/>
              <w:rPr>
                <w:sz w:val="20"/>
                <w:szCs w:val="20"/>
                <w:color w:val="auto"/>
              </w:rPr>
            </w:pPr>
            <w:r>
              <w:rPr>
                <w:rFonts w:ascii="Arial" w:cs="Arial" w:eastAsia="Arial" w:hAnsi="Arial"/>
                <w:sz w:val="16"/>
                <w:szCs w:val="16"/>
                <w:color w:val="auto"/>
              </w:rPr>
              <w:t>Baa2</w:t>
            </w:r>
          </w:p>
        </w:tc>
        <w:tc>
          <w:tcPr>
            <w:tcW w:w="19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w w:val="99"/>
              </w:rPr>
              <w:t>BBB</w:t>
            </w:r>
          </w:p>
        </w:tc>
        <w:tc>
          <w:tcPr>
            <w:tcW w:w="19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BBB</w:t>
            </w:r>
          </w:p>
        </w:tc>
      </w:tr>
      <w:tr>
        <w:trPr>
          <w:trHeight w:val="228"/>
        </w:trPr>
        <w:tc>
          <w:tcPr>
            <w:tcW w:w="3580" w:type="dxa"/>
            <w:vAlign w:val="bottom"/>
          </w:tcPr>
          <w:p>
            <w:pPr>
              <w:ind w:left="20"/>
              <w:spacing w:after="0"/>
              <w:rPr>
                <w:sz w:val="20"/>
                <w:szCs w:val="20"/>
                <w:color w:val="auto"/>
              </w:rPr>
            </w:pPr>
            <w:r>
              <w:rPr>
                <w:rFonts w:ascii="Arial" w:cs="Arial" w:eastAsia="Arial" w:hAnsi="Arial"/>
                <w:sz w:val="16"/>
                <w:szCs w:val="16"/>
                <w:color w:val="auto"/>
              </w:rPr>
              <w:t>Outlook</w:t>
            </w:r>
          </w:p>
        </w:tc>
        <w:tc>
          <w:tcPr>
            <w:tcW w:w="3740" w:type="dxa"/>
            <w:vAlign w:val="bottom"/>
          </w:tcPr>
          <w:p>
            <w:pPr>
              <w:jc w:val="center"/>
              <w:ind w:left="1559"/>
              <w:spacing w:after="0"/>
              <w:rPr>
                <w:sz w:val="20"/>
                <w:szCs w:val="20"/>
                <w:color w:val="auto"/>
              </w:rPr>
            </w:pPr>
            <w:r>
              <w:rPr>
                <w:rFonts w:ascii="Arial" w:cs="Arial" w:eastAsia="Arial" w:hAnsi="Arial"/>
                <w:sz w:val="16"/>
                <w:szCs w:val="16"/>
                <w:color w:val="auto"/>
              </w:rPr>
              <w:t>Stable</w:t>
            </w:r>
          </w:p>
        </w:tc>
        <w:tc>
          <w:tcPr>
            <w:tcW w:w="1940" w:type="dxa"/>
            <w:vAlign w:val="bottom"/>
          </w:tcPr>
          <w:p>
            <w:pPr>
              <w:jc w:val="center"/>
              <w:spacing w:after="0"/>
              <w:rPr>
                <w:sz w:val="20"/>
                <w:szCs w:val="20"/>
                <w:color w:val="auto"/>
              </w:rPr>
            </w:pPr>
            <w:r>
              <w:rPr>
                <w:rFonts w:ascii="Arial" w:cs="Arial" w:eastAsia="Arial" w:hAnsi="Arial"/>
                <w:sz w:val="16"/>
                <w:szCs w:val="16"/>
                <w:color w:val="auto"/>
              </w:rPr>
              <w:t>Stable</w:t>
            </w:r>
          </w:p>
        </w:tc>
        <w:tc>
          <w:tcPr>
            <w:tcW w:w="1980" w:type="dxa"/>
            <w:vAlign w:val="bottom"/>
          </w:tcPr>
          <w:p>
            <w:pPr>
              <w:jc w:val="center"/>
              <w:spacing w:after="0"/>
              <w:rPr>
                <w:sz w:val="20"/>
                <w:szCs w:val="20"/>
                <w:color w:val="auto"/>
              </w:rPr>
            </w:pPr>
            <w:r>
              <w:rPr>
                <w:rFonts w:ascii="Arial" w:cs="Arial" w:eastAsia="Arial" w:hAnsi="Arial"/>
                <w:sz w:val="16"/>
                <w:szCs w:val="16"/>
                <w:color w:val="auto"/>
              </w:rPr>
              <w:t>Stable</w:t>
            </w:r>
          </w:p>
        </w:tc>
      </w:tr>
      <w:tr>
        <w:trPr>
          <w:trHeight w:val="29"/>
        </w:trPr>
        <w:tc>
          <w:tcPr>
            <w:tcW w:w="35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We are disclosing our credit ratings to enhance the understanding of our sources of liquidity and the effects of our ratings on our costs of funds and access to liquidity. Our ratings may be subject to a revision or withdrawal at any time by the assigning rating organization, and each rating should be evaluated independently of any other rating.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recently issued accounting standards, see Note 1, “Organization and Basis of Presentation.”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There have been no material changes to the critical accounting estimates disclosed in our Annual Report on Form 10-K for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are exposed to market risk primarily from changes in foreign currency exchange rates, interest rates, commodity prices, and equity prices, which may impact future income, cash flows, and fair value of our business. There have been no material changes in our exposure to market risk from those disclosed in Item 7A, “Quantitative and Qualitative Disclosures About Market Risk” in our Annual Report on Form 10-K for the fiscal year ended December 31, 2024.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the supervision and with the participation of the Company’s management, including the Chief Executive Officer and Chief Financial Officer, the Company evaluated its disclosure controls and procedures as defined in Rules 13a-15(e) and 15d-15(e) under the Exchange Act. Based on this evaluation, the Chief Executive Officer and Chief Financial Officer concluded that the Company’s disclosure controls and procedures were effective as of June 30, 2025, and that the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48"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During the quarter ended June 30, 2025, there were no changes in the Company’s internal control over financial reporting that materially affected or are reasonably likely to materially affect the Company’s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INHERENT LIMITATIONS ON EFFECTIVENESS OF CONTROLS.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All internal control systems have inherent limitations; as such, they may not prevent or detect all misstatements or all fraud. Therefore, even those internal control systems determined to be effective can provide only reasonable assurance with respect to financial statement preparation and reporting. Additionally, projections of any evaluation of effectiveness to future periods are subject to the risk that the current control structure may become inadequate for changes in conditions or the degree of compliance with the policies may deteriorate.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Information on material pending legal proceedings is incorporated herein by reference to the information set forth in Note 13, “Commitments, Guarantees, Product Warranties, and Other Loss Contingencies” to the financial statements included elsewhere in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disclosed in our Annual Report on Form 10-K for the fiscal year ended December 31, 2024.</w:t>
      </w:r>
    </w:p>
    <w:p>
      <w:pPr>
        <w:sectPr>
          <w:pgSz w:w="11900" w:h="16838" w:orient="portrait"/>
          <w:cols w:equalWidth="0" w:num="1">
            <w:col w:w="11240"/>
          </w:cols>
          <w:pgMar w:left="320" w:top="130" w:right="339" w:bottom="1440" w:gutter="0" w:footer="0" w:header="0"/>
        </w:sect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660" w:type="dxa"/>
        <w:tblCellMar>
          <w:top w:w="0" w:type="dxa"/>
          <w:left w:w="0" w:type="dxa"/>
          <w:bottom w:w="0" w:type="dxa"/>
          <w:right w:w="0" w:type="dxa"/>
        </w:tblCellMar>
      </w:tblPr>
      <w:tr>
        <w:trPr>
          <w:trHeight w:val="203"/>
        </w:trPr>
        <w:tc>
          <w:tcPr>
            <w:tcW w:w="148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454545"/>
              </w:rPr>
              <w:t>Total number of</w:t>
            </w:r>
          </w:p>
        </w:tc>
        <w:tc>
          <w:tcPr>
            <w:tcW w:w="1700" w:type="dxa"/>
            <w:vAlign w:val="bottom"/>
          </w:tcPr>
          <w:p>
            <w:pPr>
              <w:jc w:val="center"/>
              <w:ind w:left="28"/>
              <w:spacing w:after="0"/>
              <w:rPr>
                <w:sz w:val="20"/>
                <w:szCs w:val="20"/>
                <w:color w:val="auto"/>
              </w:rPr>
            </w:pPr>
            <w:r>
              <w:rPr>
                <w:rFonts w:ascii="Arial" w:cs="Arial" w:eastAsia="Arial" w:hAnsi="Arial"/>
                <w:sz w:val="16"/>
                <w:szCs w:val="16"/>
                <w:b w:val="1"/>
                <w:bCs w:val="1"/>
                <w:color w:val="454545"/>
              </w:rPr>
              <w:t>Average price paid</w:t>
            </w:r>
          </w:p>
        </w:tc>
        <w:tc>
          <w:tcPr>
            <w:tcW w:w="0" w:type="dxa"/>
            <w:vAlign w:val="bottom"/>
          </w:tcPr>
          <w:p>
            <w:pPr>
              <w:spacing w:after="0"/>
              <w:rPr>
                <w:sz w:val="1"/>
                <w:szCs w:val="1"/>
                <w:color w:val="auto"/>
              </w:rPr>
            </w:pPr>
          </w:p>
        </w:tc>
      </w:tr>
      <w:tr>
        <w:trPr>
          <w:trHeight w:val="163"/>
        </w:trPr>
        <w:tc>
          <w:tcPr>
            <w:tcW w:w="1480" w:type="dxa"/>
            <w:vAlign w:val="bottom"/>
            <w:vMerge w:val="continue"/>
          </w:tcPr>
          <w:p>
            <w:pPr>
              <w:spacing w:after="0"/>
              <w:rPr>
                <w:sz w:val="14"/>
                <w:szCs w:val="14"/>
                <w:color w:val="auto"/>
              </w:rPr>
            </w:pPr>
          </w:p>
        </w:tc>
        <w:tc>
          <w:tcPr>
            <w:tcW w:w="1700" w:type="dxa"/>
            <w:vAlign w:val="bottom"/>
          </w:tcPr>
          <w:p>
            <w:pPr>
              <w:jc w:val="center"/>
              <w:ind w:left="28"/>
              <w:spacing w:after="0" w:line="163" w:lineRule="exact"/>
              <w:rPr>
                <w:sz w:val="20"/>
                <w:szCs w:val="20"/>
                <w:color w:val="auto"/>
              </w:rPr>
            </w:pPr>
            <w:r>
              <w:rPr>
                <w:rFonts w:ascii="Arial" w:cs="Arial" w:eastAsia="Arial" w:hAnsi="Arial"/>
                <w:sz w:val="16"/>
                <w:szCs w:val="16"/>
                <w:b w:val="1"/>
                <w:bCs w:val="1"/>
                <w:color w:val="454545"/>
              </w:rPr>
              <w:t>per share (in dollars)</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9"/>
              <w:spacing w:after="0"/>
              <w:rPr>
                <w:sz w:val="20"/>
                <w:szCs w:val="20"/>
                <w:color w:val="auto"/>
              </w:rPr>
            </w:pPr>
            <w:r>
              <w:rPr>
                <w:rFonts w:ascii="Arial" w:cs="Arial" w:eastAsia="Arial" w:hAnsi="Arial"/>
                <w:sz w:val="16"/>
                <w:szCs w:val="16"/>
                <w:b w:val="1"/>
                <w:bCs w:val="1"/>
                <w:color w:val="454545"/>
              </w:rPr>
              <w:t>shares purchased</w:t>
            </w:r>
          </w:p>
        </w:tc>
        <w:tc>
          <w:tcPr>
            <w:tcW w:w="1700" w:type="dxa"/>
            <w:vAlign w:val="bottom"/>
          </w:tcPr>
          <w:p>
            <w:pPr>
              <w:jc w:val="center"/>
              <w:ind w:left="28"/>
              <w:spacing w:after="0"/>
              <w:rPr>
                <w:sz w:val="20"/>
                <w:szCs w:val="20"/>
                <w:color w:val="auto"/>
              </w:rPr>
            </w:pPr>
            <w:r>
              <w:rPr>
                <w:rFonts w:ascii="Arial" w:cs="Arial" w:eastAsia="Arial" w:hAnsi="Arial"/>
                <w:sz w:val="11"/>
                <w:szCs w:val="11"/>
                <w:b w:val="1"/>
                <w:bCs w:val="1"/>
                <w:color w:val="454545"/>
                <w:w w:val="88"/>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6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454545"/>
              </w:rPr>
              <w:t>Approximate dollar</w:t>
            </w:r>
          </w:p>
        </w:tc>
      </w:tr>
      <w:tr>
        <w:trPr>
          <w:trHeight w:val="203"/>
        </w:trPr>
        <w:tc>
          <w:tcPr>
            <w:tcW w:w="1660" w:type="dxa"/>
            <w:vAlign w:val="bottom"/>
          </w:tcPr>
          <w:p>
            <w:pPr>
              <w:jc w:val="center"/>
              <w:spacing w:after="0"/>
              <w:rPr>
                <w:sz w:val="20"/>
                <w:szCs w:val="20"/>
                <w:color w:val="auto"/>
              </w:rPr>
            </w:pPr>
            <w:r>
              <w:rPr>
                <w:rFonts w:ascii="Arial" w:cs="Arial" w:eastAsia="Arial" w:hAnsi="Arial"/>
                <w:sz w:val="16"/>
                <w:szCs w:val="16"/>
                <w:b w:val="1"/>
                <w:bCs w:val="1"/>
                <w:color w:val="454545"/>
              </w:rPr>
              <w:t>Total number of</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454545"/>
              </w:rPr>
              <w:t>value of shares that</w:t>
            </w:r>
          </w:p>
        </w:tc>
      </w:tr>
      <w:tr>
        <w:trPr>
          <w:trHeight w:val="203"/>
        </w:trPr>
        <w:tc>
          <w:tcPr>
            <w:tcW w:w="1660" w:type="dxa"/>
            <w:vAlign w:val="bottom"/>
          </w:tcPr>
          <w:p>
            <w:pPr>
              <w:jc w:val="center"/>
              <w:spacing w:after="0"/>
              <w:rPr>
                <w:sz w:val="20"/>
                <w:szCs w:val="20"/>
                <w:color w:val="auto"/>
              </w:rPr>
            </w:pPr>
            <w:r>
              <w:rPr>
                <w:rFonts w:ascii="Arial" w:cs="Arial" w:eastAsia="Arial" w:hAnsi="Arial"/>
                <w:sz w:val="16"/>
                <w:szCs w:val="16"/>
                <w:b w:val="1"/>
                <w:bCs w:val="1"/>
                <w:color w:val="454545"/>
              </w:rPr>
              <w:t>shares purchased as</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454545"/>
              </w:rPr>
              <w:t>may yet be</w:t>
            </w:r>
          </w:p>
        </w:tc>
      </w:tr>
      <w:tr>
        <w:trPr>
          <w:trHeight w:val="203"/>
        </w:trPr>
        <w:tc>
          <w:tcPr>
            <w:tcW w:w="1660" w:type="dxa"/>
            <w:vAlign w:val="bottom"/>
          </w:tcPr>
          <w:p>
            <w:pPr>
              <w:jc w:val="center"/>
              <w:spacing w:after="0"/>
              <w:rPr>
                <w:sz w:val="20"/>
                <w:szCs w:val="20"/>
                <w:color w:val="auto"/>
              </w:rPr>
            </w:pPr>
            <w:r>
              <w:rPr>
                <w:rFonts w:ascii="Arial" w:cs="Arial" w:eastAsia="Arial" w:hAnsi="Arial"/>
                <w:sz w:val="16"/>
                <w:szCs w:val="16"/>
                <w:b w:val="1"/>
                <w:bCs w:val="1"/>
                <w:color w:val="454545"/>
              </w:rPr>
              <w:t>part of publicly</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454545"/>
              </w:rPr>
              <w:t>purchased under the</w:t>
            </w:r>
          </w:p>
        </w:tc>
      </w:tr>
      <w:tr>
        <w:trPr>
          <w:trHeight w:val="203"/>
        </w:trPr>
        <w:tc>
          <w:tcPr>
            <w:tcW w:w="1660" w:type="dxa"/>
            <w:vAlign w:val="bottom"/>
          </w:tcPr>
          <w:p>
            <w:pPr>
              <w:jc w:val="center"/>
              <w:spacing w:after="0"/>
              <w:rPr>
                <w:sz w:val="20"/>
                <w:szCs w:val="20"/>
                <w:color w:val="auto"/>
              </w:rPr>
            </w:pPr>
            <w:r>
              <w:rPr>
                <w:rFonts w:ascii="Arial" w:cs="Arial" w:eastAsia="Arial" w:hAnsi="Arial"/>
                <w:sz w:val="16"/>
                <w:szCs w:val="16"/>
                <w:b w:val="1"/>
                <w:bCs w:val="1"/>
                <w:color w:val="454545"/>
              </w:rPr>
              <w:t>announced</w:t>
            </w:r>
          </w:p>
        </w:tc>
        <w:tc>
          <w:tcPr>
            <w:tcW w:w="1640" w:type="dxa"/>
            <w:vAlign w:val="bottom"/>
          </w:tcPr>
          <w:p>
            <w:pPr>
              <w:jc w:val="center"/>
              <w:spacing w:after="0" w:line="203" w:lineRule="exact"/>
              <w:rPr>
                <w:sz w:val="20"/>
                <w:szCs w:val="20"/>
                <w:color w:val="auto"/>
              </w:rPr>
            </w:pPr>
            <w:r>
              <w:rPr>
                <w:rFonts w:ascii="Arial" w:cs="Arial" w:eastAsia="Arial" w:hAnsi="Arial"/>
                <w:sz w:val="16"/>
                <w:szCs w:val="16"/>
                <w:b w:val="1"/>
                <w:bCs w:val="1"/>
                <w:color w:val="454545"/>
                <w:w w:val="92"/>
              </w:rPr>
              <w:t>programs</w:t>
            </w:r>
            <w:r>
              <w:rPr>
                <w:rFonts w:ascii="Arial" w:cs="Arial" w:eastAsia="Arial" w:hAnsi="Arial"/>
                <w:sz w:val="21"/>
                <w:szCs w:val="21"/>
                <w:b w:val="1"/>
                <w:bCs w:val="1"/>
                <w:color w:val="454545"/>
                <w:w w:val="92"/>
                <w:vertAlign w:val="superscript"/>
              </w:rPr>
              <w:t>(1)(2)</w:t>
            </w:r>
          </w:p>
        </w:tc>
      </w:tr>
      <w:tr>
        <w:trPr>
          <w:trHeight w:val="244"/>
        </w:trPr>
        <w:tc>
          <w:tcPr>
            <w:tcW w:w="1660" w:type="dxa"/>
            <w:vAlign w:val="bottom"/>
          </w:tcPr>
          <w:p>
            <w:pPr>
              <w:jc w:val="center"/>
              <w:spacing w:after="0"/>
              <w:rPr>
                <w:sz w:val="20"/>
                <w:szCs w:val="20"/>
                <w:color w:val="auto"/>
              </w:rPr>
            </w:pPr>
            <w:r>
              <w:rPr>
                <w:rFonts w:ascii="Arial" w:cs="Arial" w:eastAsia="Arial" w:hAnsi="Arial"/>
                <w:sz w:val="16"/>
                <w:szCs w:val="16"/>
                <w:b w:val="1"/>
                <w:bCs w:val="1"/>
                <w:color w:val="454545"/>
                <w:w w:val="96"/>
              </w:rPr>
              <w:t>programs</w:t>
            </w:r>
            <w:r>
              <w:rPr>
                <w:rFonts w:ascii="Arial" w:cs="Arial" w:eastAsia="Arial" w:hAnsi="Arial"/>
                <w:sz w:val="21"/>
                <w:szCs w:val="21"/>
                <w:b w:val="1"/>
                <w:bCs w:val="1"/>
                <w:color w:val="454545"/>
                <w:w w:val="96"/>
                <w:vertAlign w:val="superscript"/>
              </w:rPr>
              <w:t>(2)</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454545"/>
              </w:rPr>
              <w:t>(in millions)</w:t>
            </w:r>
          </w:p>
        </w:tc>
      </w:tr>
    </w:tbl>
    <w:p>
      <w:pPr>
        <w:spacing w:after="0" w:line="1" w:lineRule="exact"/>
        <w:rPr>
          <w:sz w:val="20"/>
          <w:szCs w:val="20"/>
          <w:color w:val="auto"/>
        </w:rPr>
      </w:pPr>
    </w:p>
    <w:p>
      <w:pPr>
        <w:sectPr>
          <w:pgSz w:w="11900" w:h="16838" w:orient="portrait"/>
          <w:cols w:equalWidth="0" w:num="2">
            <w:col w:w="7840" w:space="60"/>
            <w:col w:w="334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760" w:type="dxa"/>
            <w:vAlign w:val="bottom"/>
            <w:tcBorders>
              <w:top w:val="single" w:sz="8" w:color="6022A6"/>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April 1, 2025 - April 30, 2025</w:t>
            </w:r>
          </w:p>
        </w:tc>
        <w:tc>
          <w:tcPr>
            <w:tcW w:w="3100" w:type="dxa"/>
            <w:vAlign w:val="bottom"/>
            <w:tcBorders>
              <w:top w:val="single" w:sz="8" w:color="6022A6"/>
              <w:bottom w:val="single" w:sz="8" w:color="E4E4E4"/>
            </w:tcBorders>
            <w:gridSpan w:val="2"/>
            <w:shd w:val="clear" w:color="auto" w:fill="E4E4E4"/>
          </w:tcPr>
          <w:p>
            <w:pPr>
              <w:jc w:val="right"/>
              <w:ind w:right="479"/>
              <w:spacing w:after="0"/>
              <w:rPr>
                <w:sz w:val="20"/>
                <w:szCs w:val="20"/>
                <w:color w:val="auto"/>
              </w:rPr>
            </w:pPr>
            <w:r>
              <w:rPr>
                <w:rFonts w:ascii="Arial" w:cs="Arial" w:eastAsia="Arial" w:hAnsi="Arial"/>
                <w:sz w:val="16"/>
                <w:szCs w:val="16"/>
                <w:color w:val="auto"/>
              </w:rPr>
              <w:t>— $</w:t>
            </w:r>
          </w:p>
        </w:tc>
        <w:tc>
          <w:tcPr>
            <w:tcW w:w="1420" w:type="dxa"/>
            <w:vAlign w:val="bottom"/>
            <w:tcBorders>
              <w:top w:val="single" w:sz="8" w:color="6022A6"/>
              <w:bottom w:val="single" w:sz="8" w:color="E4E4E4"/>
            </w:tcBorders>
            <w:shd w:val="clear" w:color="auto" w:fill="E4E4E4"/>
          </w:tcPr>
          <w:p>
            <w:pPr>
              <w:jc w:val="right"/>
              <w:ind w:right="39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6022A6"/>
              <w:bottom w:val="single" w:sz="8" w:color="E4E4E4"/>
            </w:tcBorders>
            <w:gridSpan w:val="2"/>
            <w:shd w:val="clear" w:color="auto" w:fill="E4E4E4"/>
          </w:tcPr>
          <w:p>
            <w:pPr>
              <w:jc w:val="right"/>
              <w:ind w:right="479"/>
              <w:spacing w:after="0"/>
              <w:rPr>
                <w:sz w:val="20"/>
                <w:szCs w:val="20"/>
                <w:color w:val="auto"/>
              </w:rPr>
            </w:pPr>
            <w:r>
              <w:rPr>
                <w:rFonts w:ascii="Arial" w:cs="Arial" w:eastAsia="Arial" w:hAnsi="Arial"/>
                <w:sz w:val="16"/>
                <w:szCs w:val="16"/>
                <w:color w:val="auto"/>
              </w:rPr>
              <w:t>— $</w:t>
            </w:r>
          </w:p>
        </w:tc>
        <w:tc>
          <w:tcPr>
            <w:tcW w:w="1020" w:type="dxa"/>
            <w:vAlign w:val="bottom"/>
            <w:tcBorders>
              <w:top w:val="single" w:sz="8" w:color="6022A6"/>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r>
      <w:tr>
        <w:trPr>
          <w:trHeight w:val="228"/>
        </w:trPr>
        <w:tc>
          <w:tcPr>
            <w:tcW w:w="3760" w:type="dxa"/>
            <w:vAlign w:val="bottom"/>
          </w:tcPr>
          <w:p>
            <w:pPr>
              <w:ind w:left="20"/>
              <w:spacing w:after="0"/>
              <w:rPr>
                <w:sz w:val="20"/>
                <w:szCs w:val="20"/>
                <w:color w:val="auto"/>
              </w:rPr>
            </w:pPr>
            <w:r>
              <w:rPr>
                <w:rFonts w:ascii="Arial" w:cs="Arial" w:eastAsia="Arial" w:hAnsi="Arial"/>
                <w:sz w:val="16"/>
                <w:szCs w:val="16"/>
                <w:color w:val="auto"/>
              </w:rPr>
              <w:t>May 1, 2025 - May 31, 2025</w:t>
            </w:r>
          </w:p>
        </w:tc>
        <w:tc>
          <w:tcPr>
            <w:tcW w:w="2400" w:type="dxa"/>
            <w:vAlign w:val="bottom"/>
          </w:tcPr>
          <w:p>
            <w:pPr>
              <w:jc w:val="right"/>
              <w:spacing w:after="0"/>
              <w:rPr>
                <w:sz w:val="20"/>
                <w:szCs w:val="20"/>
                <w:color w:val="auto"/>
              </w:rPr>
            </w:pPr>
            <w:r>
              <w:rPr>
                <w:rFonts w:ascii="Arial" w:cs="Arial" w:eastAsia="Arial" w:hAnsi="Arial"/>
                <w:sz w:val="16"/>
                <w:szCs w:val="16"/>
                <w:color w:val="auto"/>
              </w:rPr>
              <w:t>1,427,360</w:t>
            </w:r>
          </w:p>
        </w:tc>
        <w:tc>
          <w:tcPr>
            <w:tcW w:w="700" w:type="dxa"/>
            <w:vAlign w:val="bottom"/>
          </w:tcPr>
          <w:p>
            <w:pPr>
              <w:spacing w:after="0"/>
              <w:rPr>
                <w:sz w:val="19"/>
                <w:szCs w:val="19"/>
                <w:color w:val="auto"/>
              </w:rPr>
            </w:pPr>
          </w:p>
        </w:tc>
        <w:tc>
          <w:tcPr>
            <w:tcW w:w="1420" w:type="dxa"/>
            <w:vAlign w:val="bottom"/>
          </w:tcPr>
          <w:p>
            <w:pPr>
              <w:jc w:val="right"/>
              <w:ind w:right="399"/>
              <w:spacing w:after="0"/>
              <w:rPr>
                <w:sz w:val="20"/>
                <w:szCs w:val="20"/>
                <w:color w:val="auto"/>
              </w:rPr>
            </w:pPr>
            <w:r>
              <w:rPr>
                <w:rFonts w:ascii="Arial" w:cs="Arial" w:eastAsia="Arial" w:hAnsi="Arial"/>
                <w:sz w:val="16"/>
                <w:szCs w:val="16"/>
                <w:color w:val="auto"/>
              </w:rPr>
              <w:t>70.06</w:t>
            </w:r>
          </w:p>
        </w:tc>
        <w:tc>
          <w:tcPr>
            <w:tcW w:w="1240" w:type="dxa"/>
            <w:vAlign w:val="bottom"/>
          </w:tcPr>
          <w:p>
            <w:pPr>
              <w:jc w:val="right"/>
              <w:spacing w:after="0"/>
              <w:rPr>
                <w:sz w:val="20"/>
                <w:szCs w:val="20"/>
                <w:color w:val="auto"/>
              </w:rPr>
            </w:pPr>
            <w:r>
              <w:rPr>
                <w:rFonts w:ascii="Arial" w:cs="Arial" w:eastAsia="Arial" w:hAnsi="Arial"/>
                <w:sz w:val="16"/>
                <w:szCs w:val="16"/>
                <w:color w:val="auto"/>
              </w:rPr>
              <w:t>1,427,360</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900</w:t>
            </w:r>
          </w:p>
        </w:tc>
      </w:tr>
      <w:tr>
        <w:trPr>
          <w:trHeight w:val="29"/>
        </w:trPr>
        <w:tc>
          <w:tcPr>
            <w:tcW w:w="37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1"/>
        </w:trPr>
        <w:tc>
          <w:tcPr>
            <w:tcW w:w="3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June 1, 2025 - June 30, 2025</w:t>
            </w:r>
          </w:p>
        </w:tc>
        <w:tc>
          <w:tcPr>
            <w:tcW w:w="2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shd w:val="clear" w:color="auto" w:fill="E4E4E4"/>
          </w:tcPr>
          <w:p>
            <w:pPr>
              <w:spacing w:after="0"/>
              <w:rPr>
                <w:sz w:val="22"/>
                <w:szCs w:val="22"/>
                <w:color w:val="auto"/>
              </w:rPr>
            </w:pPr>
          </w:p>
        </w:tc>
        <w:tc>
          <w:tcPr>
            <w:tcW w:w="1420" w:type="dxa"/>
            <w:vAlign w:val="bottom"/>
            <w:tcBorders>
              <w:bottom w:val="single" w:sz="8" w:color="E4E4E4"/>
            </w:tcBorders>
            <w:shd w:val="clear" w:color="auto" w:fill="E4E4E4"/>
          </w:tcPr>
          <w:p>
            <w:pPr>
              <w:jc w:val="right"/>
              <w:ind w:right="3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900</w:t>
            </w:r>
          </w:p>
        </w:tc>
      </w:tr>
      <w:tr>
        <w:trPr>
          <w:trHeight w:val="229"/>
        </w:trPr>
        <w:tc>
          <w:tcPr>
            <w:tcW w:w="37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2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1,427,360</w:t>
            </w:r>
          </w:p>
        </w:tc>
        <w:tc>
          <w:tcPr>
            <w:tcW w:w="7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70.06</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1,427,360</w:t>
            </w:r>
          </w:p>
        </w:tc>
        <w:tc>
          <w:tcPr>
            <w:tcW w:w="7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900</w:t>
            </w:r>
          </w:p>
        </w:tc>
      </w:tr>
      <w:tr>
        <w:trPr>
          <w:trHeight w:val="21"/>
        </w:trPr>
        <w:tc>
          <w:tcPr>
            <w:tcW w:w="37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Amounts exclude transaction costs.</w:t>
      </w:r>
    </w:p>
    <w:p>
      <w:pPr>
        <w:spacing w:after="0" w:line="7" w:lineRule="exact"/>
        <w:rPr>
          <w:rFonts w:ascii="Arial" w:cs="Arial" w:eastAsia="Arial" w:hAnsi="Arial"/>
          <w:sz w:val="16"/>
          <w:szCs w:val="16"/>
          <w:color w:val="auto"/>
        </w:rPr>
      </w:pPr>
    </w:p>
    <w:p>
      <w:pPr>
        <w:ind w:left="260" w:right="360" w:hanging="252"/>
        <w:spacing w:after="0" w:line="248" w:lineRule="auto"/>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April 30, 2025, our Board of Directors authorized a share repurchase program (the “repurchase program”) pursuant to which GE HealthCare may repurchase up to $1,000 million of its common stock. The repurchase program does not have an expiration date.</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AND OFFICER TRADING ARRANGEMENTS.</w:t>
      </w:r>
    </w:p>
    <w:p>
      <w:pPr>
        <w:spacing w:after="0" w:line="248"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None of our directors or executive officers adopted or terminated a Rule 10b5-1 trading arrangement or a non-Rule 10b5-1 trading arrangement (as defined in Item 408(c) of Regulation S-K) during the quarterly period covered by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6"/>
          <w:szCs w:val="16"/>
          <w:b w:val="1"/>
          <w:bCs w:val="1"/>
          <w:color w:val="454545"/>
        </w:rPr>
        <w:t>Number</w:t>
      </w:r>
      <w:r>
        <w:rPr>
          <w:sz w:val="20"/>
          <w:szCs w:val="20"/>
          <w:color w:val="auto"/>
        </w:rPr>
        <w:tab/>
      </w:r>
      <w:r>
        <w:rPr>
          <w:rFonts w:ascii="Arial" w:cs="Arial" w:eastAsia="Arial" w:hAnsi="Arial"/>
          <w:sz w:val="16"/>
          <w:szCs w:val="16"/>
          <w:b w:val="1"/>
          <w:bCs w:val="1"/>
          <w:color w:val="454545"/>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30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66" w:lineRule="exact"/>
        <w:rPr>
          <w:sz w:val="20"/>
          <w:szCs w:val="20"/>
          <w:color w:val="auto"/>
        </w:rPr>
      </w:pPr>
    </w:p>
    <w:p>
      <w:pPr>
        <w:ind w:left="1180" w:right="180" w:hanging="710"/>
        <w:spacing w:after="0" w:line="299"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3.1</w:t>
      </w:r>
      <w:r>
        <w:rPr>
          <w:sz w:val="20"/>
          <w:szCs w:val="20"/>
          <w:color w:val="auto"/>
        </w:rPr>
        <w:tab/>
      </w:r>
      <w:hyperlink r:id="rId68">
        <w:r>
          <w:rPr>
            <w:rFonts w:ascii="Arial" w:cs="Arial" w:eastAsia="Arial" w:hAnsi="Arial"/>
            <w:sz w:val="16"/>
            <w:szCs w:val="16"/>
            <w:u w:val="single" w:color="auto"/>
            <w:color w:val="0E32E1"/>
          </w:rPr>
          <w:t>Certificate of Incorporation of the Registrant (incorporated by reference to Exhibit 3.1 to the Registrant’s Current Report on Form 8-K filed</w:t>
        </w:r>
      </w:hyperlink>
      <w:r>
        <w:rPr>
          <w:rFonts w:ascii="Arial" w:cs="Arial" w:eastAsia="Arial" w:hAnsi="Arial"/>
          <w:sz w:val="16"/>
          <w:szCs w:val="16"/>
          <w:u w:val="single" w:color="auto"/>
          <w:color w:val="0E32E1"/>
        </w:rPr>
        <w:t xml:space="preserve"> </w:t>
      </w:r>
      <w:hyperlink r:id="rId68">
        <w:r>
          <w:rPr>
            <w:rFonts w:ascii="Arial" w:cs="Arial" w:eastAsia="Arial" w:hAnsi="Arial"/>
            <w:sz w:val="16"/>
            <w:szCs w:val="16"/>
            <w:u w:val="single" w:color="auto"/>
            <w:color w:val="0E32E1"/>
          </w:rPr>
          <w:t>with the SEC on December 29, 2022).</w:t>
        </w:r>
      </w:hyperlink>
    </w:p>
    <w:p>
      <w:pPr>
        <w:spacing w:after="0" w:line="1" w:lineRule="exact"/>
        <w:rPr>
          <w:sz w:val="20"/>
          <w:szCs w:val="20"/>
          <w:color w:val="auto"/>
        </w:rPr>
      </w:pPr>
    </w:p>
    <w:p>
      <w:pPr>
        <w:ind w:left="1180" w:right="360" w:hanging="710"/>
        <w:spacing w:after="0" w:line="299"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3.2</w:t>
      </w:r>
      <w:r>
        <w:rPr>
          <w:sz w:val="20"/>
          <w:szCs w:val="20"/>
          <w:color w:val="auto"/>
        </w:rPr>
        <w:tab/>
      </w:r>
      <w:hyperlink r:id="rId69">
        <w:r>
          <w:rPr>
            <w:rFonts w:ascii="Arial" w:cs="Arial" w:eastAsia="Arial" w:hAnsi="Arial"/>
            <w:sz w:val="16"/>
            <w:szCs w:val="16"/>
            <w:u w:val="single" w:color="auto"/>
            <w:color w:val="0E32E1"/>
          </w:rPr>
          <w:t>Bylaws of the Registrant (incorporated by reference to Exhibit 3.2 to the Registrant’s Current Report on Form 8-K filed with the SEC on</w:t>
        </w:r>
      </w:hyperlink>
      <w:r>
        <w:rPr>
          <w:rFonts w:ascii="Arial" w:cs="Arial" w:eastAsia="Arial" w:hAnsi="Arial"/>
          <w:sz w:val="16"/>
          <w:szCs w:val="16"/>
          <w:u w:val="single" w:color="auto"/>
          <w:color w:val="0E32E1"/>
        </w:rPr>
        <w:t xml:space="preserve"> </w:t>
      </w:r>
      <w:hyperlink r:id="rId69">
        <w:r>
          <w:rPr>
            <w:rFonts w:ascii="Arial" w:cs="Arial" w:eastAsia="Arial" w:hAnsi="Arial"/>
            <w:sz w:val="16"/>
            <w:szCs w:val="16"/>
            <w:u w:val="single" w:color="auto"/>
            <w:color w:val="0E32E1"/>
          </w:rPr>
          <w:t>December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91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1180" w:right="100" w:hanging="710"/>
        <w:spacing w:after="0" w:line="299"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4.1</w:t>
      </w:r>
      <w:r>
        <w:rPr>
          <w:sz w:val="20"/>
          <w:szCs w:val="20"/>
          <w:color w:val="auto"/>
        </w:rPr>
        <w:tab/>
      </w:r>
      <w:hyperlink r:id="rId71">
        <w:r>
          <w:rPr>
            <w:rFonts w:ascii="Arial" w:cs="Arial" w:eastAsia="Arial" w:hAnsi="Arial"/>
            <w:sz w:val="16"/>
            <w:szCs w:val="16"/>
            <w:u w:val="single" w:color="auto"/>
            <w:color w:val="0E32E1"/>
          </w:rPr>
          <w:t>Third Supplemental Indenture, dated as of June 9, 2025, between GE HealthCare Technologies Inc. and The Bank of New York Mellon, as</w:t>
        </w:r>
      </w:hyperlink>
      <w:r>
        <w:rPr>
          <w:rFonts w:ascii="Arial" w:cs="Arial" w:eastAsia="Arial" w:hAnsi="Arial"/>
          <w:sz w:val="16"/>
          <w:szCs w:val="16"/>
          <w:u w:val="single" w:color="auto"/>
          <w:color w:val="0E32E1"/>
        </w:rPr>
        <w:t xml:space="preserve"> </w:t>
      </w:r>
      <w:hyperlink r:id="rId71">
        <w:r>
          <w:rPr>
            <w:rFonts w:ascii="Arial" w:cs="Arial" w:eastAsia="Arial" w:hAnsi="Arial"/>
            <w:sz w:val="16"/>
            <w:szCs w:val="16"/>
            <w:u w:val="single" w:color="auto"/>
            <w:color w:val="0E32E1"/>
          </w:rPr>
          <w:t>trustee (incorporated by reference to Exhibit 4.2 to the Registrant’s Current Report on Form 8-K filed with the SEC on June 9, 2025).</w:t>
        </w:r>
      </w:hyperlink>
    </w:p>
    <w:p>
      <w:pPr>
        <w:spacing w:after="0" w:line="1" w:lineRule="exact"/>
        <w:rPr>
          <w:sz w:val="20"/>
          <w:szCs w:val="20"/>
          <w:color w:val="auto"/>
        </w:rPr>
      </w:pPr>
    </w:p>
    <w:p>
      <w:pPr>
        <w:ind w:left="1180" w:right="28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31.1</w:t>
      </w:r>
      <w:r>
        <w:rPr>
          <w:sz w:val="20"/>
          <w:szCs w:val="20"/>
          <w:color w:val="auto"/>
        </w:rPr>
        <w:tab/>
      </w:r>
      <w:r>
        <w:rPr>
          <w:rFonts w:ascii="Arial" w:cs="Arial" w:eastAsia="Arial" w:hAnsi="Arial"/>
          <w:sz w:val="16"/>
          <w:szCs w:val="16"/>
          <w:u w:val="single" w:color="auto"/>
          <w:color w:val="0E32E1"/>
        </w:rPr>
        <w:t>Certification of the Registrant’s Chief Executive Officer pursuant to Rule 13a-14(a)/15d-14(a) of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1180" w:right="32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31.2</w:t>
      </w:r>
      <w:r>
        <w:rPr>
          <w:sz w:val="20"/>
          <w:szCs w:val="20"/>
          <w:color w:val="auto"/>
        </w:rPr>
        <w:tab/>
      </w:r>
      <w:r>
        <w:rPr>
          <w:rFonts w:ascii="Arial" w:cs="Arial" w:eastAsia="Arial" w:hAnsi="Arial"/>
          <w:sz w:val="16"/>
          <w:szCs w:val="16"/>
          <w:u w:val="single" w:color="auto"/>
          <w:color w:val="0E32E1"/>
        </w:rPr>
        <w:t>Certification of the Registrant’s Chief Financial Officer pursuant to Rule 13a-14(a)/15d-14(a) of the Securities Exchange Act of 1934, as amended, as adopted pursuant to Section 302 of the Sarbanes-Oxley Act of 2002.</w:t>
      </w:r>
    </w:p>
    <w:p>
      <w:pPr>
        <w:spacing w:after="0" w:line="1" w:lineRule="exact"/>
        <w:rPr>
          <w:sz w:val="20"/>
          <w:szCs w:val="20"/>
          <w:color w:val="auto"/>
        </w:rPr>
      </w:pPr>
    </w:p>
    <w:p>
      <w:pPr>
        <w:ind w:left="1180" w:right="58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32.1</w:t>
      </w:r>
      <w:r>
        <w:rPr>
          <w:sz w:val="20"/>
          <w:szCs w:val="20"/>
          <w:color w:val="auto"/>
        </w:rPr>
        <w:tab/>
      </w:r>
      <w:r>
        <w:rPr>
          <w:rFonts w:ascii="Arial" w:cs="Arial" w:eastAsia="Arial" w:hAnsi="Arial"/>
          <w:sz w:val="16"/>
          <w:szCs w:val="16"/>
          <w:u w:val="single" w:color="auto"/>
          <w:color w:val="0E32E1"/>
        </w:rPr>
        <w:t>Certifications of the Registrant’s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9340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934085"/>
                    </a:xfrm>
                    <a:prstGeom prst="rect">
                      <a:avLst/>
                    </a:prstGeom>
                    <a:noFill/>
                  </pic:spPr>
                </pic:pic>
              </a:graphicData>
            </a:graphic>
          </wp:anchor>
        </w:drawing>
      </w:r>
    </w:p>
    <w:p>
      <w:pPr>
        <w:ind w:left="1180" w:hanging="727"/>
        <w:spacing w:after="0" w:line="270" w:lineRule="auto"/>
        <w:tabs>
          <w:tab w:leader="none" w:pos="118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The following materials from GE HealthCare Technologies Inc.’s Quarterly Report on Form 10-Q for the quarter ended June 30, 2025, formatted in inline XBRL (eXtensible Business Reporting Language); (1) Condensed Consolidated Statements of Income for the three and six months ended June 30, 2025 and 2024; (2) Condensed Consolidated Statements of Comprehensive Income (Loss) for the three and six months ended June 30, 2025 and 2024; (3) Condensed Consolidated Statements of Financial Position as of June 30, 2025 and December 31, 2024; (4) Condensed Consolidated Statements of Changes in Equity for the three and six months ended June 30, 2025 and 2024; (5) Condensed Consolidated Statements of Cash Flows for the six months ended June 30, 2025 and 2024; and (6) Notes to the Condensed Consolidated Financial Statements.</w:t>
      </w:r>
    </w:p>
    <w:p>
      <w:pPr>
        <w:spacing w:after="0" w:line="23" w:lineRule="exact"/>
        <w:rPr>
          <w:sz w:val="20"/>
          <w:szCs w:val="20"/>
          <w:color w:val="auto"/>
        </w:rPr>
      </w:pPr>
    </w:p>
    <w:p>
      <w:pPr>
        <w:ind w:left="1180" w:hanging="727"/>
        <w:spacing w:after="0"/>
        <w:tabs>
          <w:tab w:leader="none" w:pos="1180"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84" w:lineRule="exact"/>
        <w:rPr>
          <w:rFonts w:ascii="Arial" w:cs="Arial" w:eastAsia="Arial" w:hAnsi="Arial"/>
          <w:sz w:val="16"/>
          <w:szCs w:val="16"/>
          <w:b w:val="1"/>
          <w:bCs w:val="1"/>
          <w:color w:val="auto"/>
        </w:rPr>
      </w:pPr>
    </w:p>
    <w:p>
      <w:pPr>
        <w:ind w:left="5540"/>
        <w:spacing w:after="0"/>
        <w:rPr>
          <w:rFonts w:ascii="Arial" w:cs="Arial" w:eastAsia="Arial" w:hAnsi="Arial"/>
          <w:sz w:val="16"/>
          <w:szCs w:val="16"/>
          <w:b w:val="1"/>
          <w:bCs w:val="1"/>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-815975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Arial" w:cs="Arial" w:eastAsia="Arial" w:hAnsi="Arial"/>
                <w:sz w:val="16"/>
                <w:szCs w:val="16"/>
                <w:color w:val="auto"/>
              </w:rPr>
              <w:t>GE HealthCare Technologies Inc.</w:t>
            </w:r>
          </w:p>
        </w:tc>
      </w:tr>
      <w:tr>
        <w:trPr>
          <w:trHeight w:val="29"/>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275"/>
        </w:trPr>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700" w:type="dxa"/>
            <w:vAlign w:val="bottom"/>
          </w:tcPr>
          <w:p>
            <w:pPr>
              <w:ind w:left="20"/>
              <w:spacing w:after="0"/>
              <w:rPr>
                <w:sz w:val="20"/>
                <w:szCs w:val="20"/>
                <w:color w:val="auto"/>
              </w:rPr>
            </w:pPr>
            <w:r>
              <w:rPr>
                <w:rFonts w:ascii="Arial" w:cs="Arial" w:eastAsia="Arial" w:hAnsi="Arial"/>
                <w:sz w:val="16"/>
                <w:szCs w:val="16"/>
                <w:color w:val="auto"/>
              </w:rPr>
              <w:t>(Registrant)</w:t>
            </w:r>
          </w:p>
        </w:tc>
      </w:tr>
      <w:tr>
        <w:trPr>
          <w:trHeight w:val="513"/>
        </w:trPr>
        <w:tc>
          <w:tcPr>
            <w:tcW w:w="2040" w:type="dxa"/>
            <w:vAlign w:val="bottom"/>
            <w:gridSpan w:val="2"/>
          </w:tcPr>
          <w:p>
            <w:pPr>
              <w:jc w:val="center"/>
              <w:ind w:right="80"/>
              <w:spacing w:after="0"/>
              <w:rPr>
                <w:sz w:val="20"/>
                <w:szCs w:val="20"/>
                <w:color w:val="auto"/>
              </w:rPr>
            </w:pPr>
            <w:r>
              <w:rPr>
                <w:rFonts w:ascii="Arial" w:cs="Arial" w:eastAsia="Arial" w:hAnsi="Arial"/>
                <w:sz w:val="16"/>
                <w:szCs w:val="16"/>
                <w:color w:val="auto"/>
              </w:rPr>
              <w:t>July 30, 2025</w:t>
            </w:r>
          </w:p>
        </w:tc>
        <w:tc>
          <w:tcPr>
            <w:tcW w:w="7700" w:type="dxa"/>
            <w:vAlign w:val="bottom"/>
          </w:tcPr>
          <w:p>
            <w:pPr>
              <w:ind w:left="20"/>
              <w:spacing w:after="0"/>
              <w:rPr>
                <w:sz w:val="20"/>
                <w:szCs w:val="20"/>
                <w:color w:val="auto"/>
              </w:rPr>
            </w:pPr>
            <w:r>
              <w:rPr>
                <w:rFonts w:ascii="Arial" w:cs="Arial" w:eastAsia="Arial" w:hAnsi="Arial"/>
                <w:sz w:val="16"/>
                <w:szCs w:val="16"/>
                <w:color w:val="auto"/>
              </w:rPr>
              <w:t>/s/ George A. Newcomb</w:t>
            </w:r>
          </w:p>
        </w:tc>
      </w:tr>
      <w:tr>
        <w:trPr>
          <w:trHeight w:val="29"/>
        </w:trPr>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221"/>
        </w:trPr>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Date</w:t>
            </w:r>
          </w:p>
        </w:tc>
        <w:tc>
          <w:tcPr>
            <w:tcW w:w="7700" w:type="dxa"/>
            <w:vAlign w:val="bottom"/>
          </w:tcPr>
          <w:p>
            <w:pPr>
              <w:ind w:left="20"/>
              <w:spacing w:after="0"/>
              <w:rPr>
                <w:sz w:val="20"/>
                <w:szCs w:val="20"/>
                <w:color w:val="auto"/>
              </w:rPr>
            </w:pPr>
            <w:r>
              <w:rPr>
                <w:rFonts w:ascii="Arial" w:cs="Arial" w:eastAsia="Arial" w:hAnsi="Arial"/>
                <w:sz w:val="16"/>
                <w:szCs w:val="16"/>
                <w:color w:val="auto"/>
              </w:rPr>
              <w:t>George A. Newcomb, Controller &amp; Chief Accounting Officer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0340"/>
          </w:cols>
          <w:pgMar w:left="320" w:top="130" w:right="1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Peter J. Arduini, certify that:</w:t>
      </w:r>
    </w:p>
    <w:p>
      <w:pPr>
        <w:spacing w:after="0" w:line="248"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July 30, 2025</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James K. Saccaro, certify that:</w:t>
      </w:r>
    </w:p>
    <w:p>
      <w:pPr>
        <w:spacing w:after="0" w:line="248"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July 30, 2025</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700"/>
        <w:spacing w:after="0"/>
        <w:rPr>
          <w:sz w:val="20"/>
          <w:szCs w:val="20"/>
          <w:color w:val="auto"/>
        </w:rPr>
      </w:pPr>
      <w:r>
        <w:rPr>
          <w:rFonts w:ascii="Arial" w:cs="Arial" w:eastAsia="Arial" w:hAnsi="Arial"/>
          <w:sz w:val="16"/>
          <w:szCs w:val="16"/>
          <w:b w:val="1"/>
          <w:bCs w:val="1"/>
          <w:color w:val="auto"/>
        </w:rPr>
        <w:t>Certification Pursuant to</w:t>
      </w:r>
    </w:p>
    <w:p>
      <w:pPr>
        <w:spacing w:after="0" w:line="35" w:lineRule="exact"/>
        <w:rPr>
          <w:sz w:val="20"/>
          <w:szCs w:val="20"/>
          <w:color w:val="auto"/>
        </w:rPr>
      </w:pPr>
    </w:p>
    <w:p>
      <w:pPr>
        <w:jc w:val="right"/>
        <w:ind w:right="4740"/>
        <w:spacing w:after="0"/>
        <w:rPr>
          <w:sz w:val="20"/>
          <w:szCs w:val="20"/>
          <w:color w:val="auto"/>
        </w:rPr>
      </w:pPr>
      <w:r>
        <w:rPr>
          <w:rFonts w:ascii="Arial" w:cs="Arial" w:eastAsia="Arial" w:hAnsi="Arial"/>
          <w:sz w:val="16"/>
          <w:szCs w:val="16"/>
          <w:b w:val="1"/>
          <w:bCs w:val="1"/>
          <w:color w:val="auto"/>
        </w:rPr>
        <w:t>18 U.S.C. Section 1350</w:t>
      </w:r>
    </w:p>
    <w:p>
      <w:pPr>
        <w:spacing w:after="0" w:line="200" w:lineRule="exact"/>
        <w:rPr>
          <w:sz w:val="20"/>
          <w:szCs w:val="20"/>
          <w:color w:val="auto"/>
        </w:rPr>
      </w:pPr>
    </w:p>
    <w:p>
      <w:pPr>
        <w:spacing w:after="0" w:line="31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In connection with the Quarterly Report of GE HealthCare Technologies Inc. (the “registrant”) on Form 10-Q for the period ended June 30, 2025, as filed with the Securities and Exchange Commission on the date hereof (the “report”), we, Peter J. Arduini and James K. Saccaro, President &amp; Chief Executive Officer and Vice President &amp; Chief Financial Officer, respectively, of the registrant, certify, pursuant to 18 U.S.C. § 1350, that to our knowledge:</w:t>
      </w:r>
    </w:p>
    <w:p>
      <w:pPr>
        <w:spacing w:after="0" w:line="178"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July 30, 2025</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endash "/>
      <w:numFmt w:val="bullet"/>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01"/>
    </w:lvl>
  </w:abstractNum>
  <w:abstractNum w:abstractNumId="38">
    <w:nsid w:val="580BD78F"/>
    <w:multiLevelType w:val="hybridMultilevel"/>
    <w:lvl w:ilvl="0">
      <w:lvlJc w:val="left"/>
      <w:lvlText w:val="%1"/>
      <w:numFmt w:val="decimal"/>
      <w:start w:val="104"/>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68" Type="http://schemas.openxmlformats.org/officeDocument/2006/relationships/hyperlink" Target="https://www.sec.gov/Archives/edgar/data/1932393/000119312522314166/d439598dex31.htm" TargetMode="External"/><Relationship Id="rId69" Type="http://schemas.openxmlformats.org/officeDocument/2006/relationships/hyperlink" Target="https://www.sec.gov/Archives/edgar/data/1932393/000119312522314166/d439598dex32.htm" TargetMode="External"/><Relationship Id="rId71" Type="http://schemas.openxmlformats.org/officeDocument/2006/relationships/hyperlink" Target="https://www.sec.gov/Archives/edgar/data/1932393/000193239325000041/gehc-thirdsupplementalind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2025-07-30T05:32:47Z</dcterms:created>
  <dcterms:modified xsi:type="dcterms:W3CDTF">2025-07-30T05:32:47Z</dcterms:modified>
</cp:coreProperties>
</file>